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A2CBB">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14</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501088</w:t>
      </w:r>
      <w:bookmarkStart w:id="8" w:name="_GoBack"/>
      <w:bookmarkEnd w:id="8"/>
      <w:r>
        <w:rPr>
          <w:b/>
          <w:sz w:val="24"/>
          <w:szCs w:val="24"/>
          <w:highlight w:val="none"/>
        </w:rPr>
        <w:t xml:space="preserve">           </w:t>
      </w:r>
    </w:p>
    <w:bookmarkEnd w:id="0"/>
    <w:bookmarkEnd w:id="1"/>
    <w:p w14:paraId="5C25862B">
      <w:pPr>
        <w:pStyle w:val="7"/>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cs="Times New Roman"/>
          <w:b/>
          <w:bCs/>
          <w:sz w:val="24"/>
          <w:highlight w:val="none"/>
        </w:rPr>
        <w:t>Athens, GR, 17</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 21</w:t>
      </w:r>
      <w:r>
        <w:rPr>
          <w:rFonts w:hint="default" w:ascii="Times New Roman" w:hAnsi="Times New Roman" w:cs="Times New Roman"/>
          <w:b/>
          <w:bCs/>
          <w:sz w:val="24"/>
          <w:highlight w:val="none"/>
          <w:vertAlign w:val="superscript"/>
        </w:rPr>
        <w:t>st</w:t>
      </w:r>
      <w:r>
        <w:rPr>
          <w:rFonts w:hint="default" w:ascii="Times New Roman" w:hAnsi="Times New Roman" w:cs="Times New Roman"/>
          <w:b/>
          <w:bCs/>
          <w:sz w:val="24"/>
          <w:highlight w:val="none"/>
        </w:rPr>
        <w:t xml:space="preserve"> February, 2025</w:t>
      </w:r>
    </w:p>
    <w:p w14:paraId="5E1118E0">
      <w:pPr>
        <w:tabs>
          <w:tab w:val="left" w:pos="1985"/>
        </w:tabs>
        <w:rPr>
          <w:rFonts w:ascii="Times New Roman" w:hAnsi="Times New Roman"/>
          <w:b/>
          <w:sz w:val="22"/>
          <w:highlight w:val="none"/>
        </w:rPr>
      </w:pPr>
    </w:p>
    <w:p w14:paraId="258FEDE0">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23</w:t>
      </w:r>
      <w:r>
        <w:rPr>
          <w:rFonts w:hint="eastAsia" w:ascii="Times New Roman" w:hAnsi="Times New Roman"/>
          <w:sz w:val="22"/>
          <w:highlight w:val="none"/>
        </w:rPr>
        <w:t>.</w:t>
      </w:r>
      <w:r>
        <w:rPr>
          <w:rFonts w:hint="eastAsia" w:ascii="Times New Roman" w:hAnsi="Times New Roman"/>
          <w:sz w:val="22"/>
          <w:highlight w:val="none"/>
          <w:lang w:val="en-US" w:eastAsia="zh-CN"/>
        </w:rPr>
        <w:t>3.1</w:t>
      </w:r>
    </w:p>
    <w:p w14:paraId="3CDEEB51">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1796E118">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RRM requirements for UE-to-UE CLI handling</w:t>
      </w:r>
    </w:p>
    <w:bookmarkEnd w:id="4"/>
    <w:bookmarkEnd w:id="5"/>
    <w:p w14:paraId="02A05ED5">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829441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C77352C">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#104 meeting, the revised WID on SBFD was approved [1]. According to the WID, the objectives having RAN4 impact are duplicated as following.</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6BC5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noWrap w:val="0"/>
            <w:vAlign w:val="top"/>
          </w:tcPr>
          <w:p w14:paraId="2BC40C03">
            <w:pPr>
              <w:numPr>
                <w:ilvl w:val="1"/>
                <w:numId w:val="3"/>
              </w:numPr>
              <w:tabs>
                <w:tab w:val="left" w:pos="72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Specify enhancements for CLI handling [RAN1, RAN2, RAN3, RAN4]</w:t>
            </w:r>
          </w:p>
          <w:p w14:paraId="21B7D78C">
            <w:pPr>
              <w:numPr>
                <w:ilvl w:val="2"/>
                <w:numId w:val="3"/>
              </w:numPr>
              <w:tabs>
                <w:tab w:val="left" w:pos="720"/>
                <w:tab w:val="left" w:pos="144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Information exchange among gNBs, including [RAN3]</w:t>
            </w:r>
          </w:p>
          <w:p w14:paraId="63DC6369">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Semi-static cell-specific SBFD time and frequency location configuration </w:t>
            </w:r>
          </w:p>
          <w:p w14:paraId="7B41AAF6">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Measurement resource configuration, i.e., SSB and/or periodic NZP CSI-RS </w:t>
            </w:r>
          </w:p>
          <w:p w14:paraId="21555D86">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Strongest DL beam information</w:t>
            </w:r>
          </w:p>
          <w:p w14:paraId="746F2682">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CLI-mitigation request</w:t>
            </w:r>
          </w:p>
          <w:p w14:paraId="29163B47">
            <w:pPr>
              <w:numPr>
                <w:ilvl w:val="2"/>
                <w:numId w:val="3"/>
              </w:numPr>
              <w:tabs>
                <w:tab w:val="left" w:pos="144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UL resource muting for PUSCH, including [RAN1, RAN2, RAN4] </w:t>
            </w:r>
          </w:p>
          <w:p w14:paraId="23E0D360">
            <w:pPr>
              <w:numPr>
                <w:ilvl w:val="3"/>
                <w:numId w:val="3"/>
              </w:numPr>
              <w:tabs>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Indication/determination of UL resource muting for PUSCH based on semi-static configuration, assuming comb-2 for both DFT-S-OFDM and CP-OFDM in each allocated PRB and up to 2 symbols in time domain</w:t>
            </w:r>
          </w:p>
          <w:p w14:paraId="0D50F409">
            <w:pPr>
              <w:numPr>
                <w:ilvl w:val="3"/>
                <w:numId w:val="3"/>
              </w:numPr>
              <w:tabs>
                <w:tab w:val="left" w:pos="144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PUSCH resource mapping, i.e., rate-matching around the muted REs</w:t>
            </w:r>
          </w:p>
          <w:p w14:paraId="618F2BB5">
            <w:pPr>
              <w:numPr>
                <w:ilvl w:val="3"/>
                <w:numId w:val="3"/>
              </w:numPr>
              <w:tabs>
                <w:tab w:val="left" w:pos="144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UCI resource determination in symbols with muted REs</w:t>
            </w:r>
          </w:p>
          <w:p w14:paraId="6A4EDAC0">
            <w:pPr>
              <w:numPr>
                <w:ilvl w:val="2"/>
                <w:numId w:val="3"/>
              </w:numPr>
              <w:tabs>
                <w:tab w:val="left" w:pos="144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L1 based UE-to-UE CLI measurement and reporting based on existing CSI framework, including [RAN1, RAN2, RAN4]</w:t>
            </w:r>
          </w:p>
          <w:p w14:paraId="58DD893E">
            <w:pPr>
              <w:numPr>
                <w:ilvl w:val="3"/>
                <w:numId w:val="3"/>
              </w:numPr>
              <w:tabs>
                <w:tab w:val="clear" w:pos="288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Periodic, semi-persistent, or aperiodic measurement resource (set), i.e., SRS-RSRP resource or CLI-RSSI resource, and configuration/determination of ‘typeD’ QCL assumptions for the CLI measurement resource</w:t>
            </w:r>
          </w:p>
          <w:p w14:paraId="37633A79">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At least aperiodic reporting</w:t>
            </w:r>
          </w:p>
          <w:p w14:paraId="56E31B6C">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New report quantities, e.g., L1-SRS-RSRP, L1-CLI-RSSI and/or measurement resource indices</w:t>
            </w:r>
          </w:p>
          <w:p w14:paraId="1020CBD8">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UCI bits generation </w:t>
            </w:r>
          </w:p>
          <w:p w14:paraId="2239AA4B">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Priority rules for multiple CSI reporting</w:t>
            </w:r>
          </w:p>
          <w:p w14:paraId="7D3CB121">
            <w:pPr>
              <w:numPr>
                <w:ilvl w:val="3"/>
                <w:numId w:val="3"/>
              </w:numPr>
              <w:tabs>
                <w:tab w:val="left" w:pos="144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cs="Times New Roman"/>
                <w:sz w:val="20"/>
                <w:szCs w:val="20"/>
                <w:lang w:val="en-US" w:eastAsia="zh-CN"/>
              </w:rPr>
              <w:t>CLI measurement accuracy requirement</w:t>
            </w:r>
          </w:p>
          <w:p w14:paraId="30996B1B">
            <w:pPr>
              <w:numPr>
                <w:ilvl w:val="2"/>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Note: Without dedicated optimization for dynamic/flexible TDD. </w:t>
            </w:r>
          </w:p>
          <w:p w14:paraId="73118925">
            <w:pPr>
              <w:numPr>
                <w:ilvl w:val="0"/>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Specify BS RF requirements for SBFD operation at gNB [RAN4]</w:t>
            </w:r>
          </w:p>
          <w:p w14:paraId="23804707">
            <w:pPr>
              <w:numPr>
                <w:ilvl w:val="0"/>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Specify applicable RRM core requirements for CLI handling mechanisms [RAN4]</w:t>
            </w:r>
          </w:p>
          <w:p w14:paraId="3D4BB971">
            <w:pPr>
              <w:numPr>
                <w:ilvl w:val="0"/>
                <w:numId w:val="3"/>
              </w:numPr>
              <w:overflowPunct/>
              <w:autoSpaceDE/>
              <w:autoSpaceDN/>
              <w:adjustRightInd/>
              <w:spacing w:after="160" w:line="256" w:lineRule="auto"/>
              <w:ind w:right="-99"/>
              <w:textAlignment w:val="auto"/>
              <w:rPr>
                <w:rFonts w:hint="default" w:ascii="Times New Roman" w:hAnsi="Times New Roman" w:cs="Times New Roman"/>
                <w:sz w:val="20"/>
                <w:szCs w:val="20"/>
                <w:vertAlign w:val="baseline"/>
                <w:lang w:val="en-US" w:eastAsia="zh-CN"/>
              </w:rPr>
            </w:pPr>
            <w:r>
              <w:rPr>
                <w:rFonts w:hint="default" w:ascii="Times New Roman" w:hAnsi="Times New Roman" w:eastAsia="Malgun Gothic" w:cs="Times New Roman"/>
                <w:sz w:val="20"/>
                <w:szCs w:val="20"/>
                <w:lang w:val="en-US" w:eastAsia="ko-KR"/>
              </w:rPr>
              <w:t>Specify other RRM core requirements for SBFD operation, if identified [RAN4]</w:t>
            </w:r>
          </w:p>
        </w:tc>
      </w:tr>
    </w:tbl>
    <w:p w14:paraId="20A48E20">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meeting, there was discussion on SBFD, and a WF was agreed [2].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further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UE-to-UE CLI handling</w:t>
      </w:r>
      <w:r>
        <w:rPr>
          <w:rFonts w:hint="eastAsia" w:ascii="Times New Roman" w:hAnsi="Times New Roman"/>
          <w:bCs/>
          <w:iCs/>
          <w:sz w:val="20"/>
          <w:szCs w:val="20"/>
        </w:rPr>
        <w:t>.</w:t>
      </w:r>
    </w:p>
    <w:p w14:paraId="779163C4">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3752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A96252C">
            <w:pPr>
              <w:keepNext/>
              <w:keepLines/>
              <w:spacing w:before="120"/>
              <w:outlineLvl w:val="3"/>
              <w:rPr>
                <w:rFonts w:hint="default" w:ascii="Times New Roman" w:hAnsi="Times New Roman" w:cs="Times New Roman"/>
                <w:sz w:val="20"/>
                <w:szCs w:val="20"/>
                <w:highlight w:val="none"/>
                <w:lang w:val="sv-SE" w:eastAsia="zh-CN"/>
              </w:rPr>
            </w:pPr>
            <w:r>
              <w:rPr>
                <w:rFonts w:hint="default" w:ascii="Times New Roman" w:hAnsi="Times New Roman" w:cs="Times New Roman"/>
                <w:sz w:val="20"/>
                <w:szCs w:val="20"/>
                <w:highlight w:val="none"/>
                <w:lang w:val="sv-SE" w:eastAsia="zh-CN"/>
              </w:rPr>
              <w:t xml:space="preserve">Issue 1-1-2: Measurement methods </w:t>
            </w:r>
          </w:p>
          <w:p w14:paraId="604B654E">
            <w:pPr>
              <w:numPr>
                <w:ilvl w:val="0"/>
                <w:numId w:val="4"/>
              </w:numPr>
              <w:spacing w:after="120"/>
              <w:ind w:left="7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Agreements (from Thu AH session)</w:t>
            </w:r>
          </w:p>
          <w:p w14:paraId="5026D7DB">
            <w:pPr>
              <w:numPr>
                <w:ilvl w:val="1"/>
                <w:numId w:val="4"/>
              </w:numPr>
              <w:spacing w:after="120"/>
              <w:ind w:left="144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RAN4 shall specify L1 CLI measurement requirements at least for below methods:</w:t>
            </w:r>
          </w:p>
          <w:p w14:paraId="7D33CCD7">
            <w:pPr>
              <w:numPr>
                <w:ilvl w:val="2"/>
                <w:numId w:val="4"/>
              </w:numPr>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Method#1: UE measures RSSI within DL subband</w:t>
            </w:r>
          </w:p>
          <w:p w14:paraId="47463D9B">
            <w:pPr>
              <w:numPr>
                <w:ilvl w:val="2"/>
                <w:numId w:val="4"/>
              </w:numPr>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Method#2: UE measures RSRP of aggressor UE within UL subband </w:t>
            </w:r>
          </w:p>
          <w:p w14:paraId="6CB6338E">
            <w:pPr>
              <w:numPr>
                <w:ilvl w:val="1"/>
                <w:numId w:val="4"/>
              </w:numPr>
              <w:spacing w:after="120"/>
              <w:ind w:left="144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Additional methods can be considered based on further RAN1 agreements.</w:t>
            </w:r>
          </w:p>
          <w:p w14:paraId="78FAD3B8">
            <w:pPr>
              <w:numPr>
                <w:ilvl w:val="1"/>
                <w:numId w:val="4"/>
              </w:numPr>
              <w:spacing w:after="120"/>
              <w:ind w:left="144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eastAsia="zh-CN"/>
              </w:rPr>
              <w:t>Differentiation on requirements based on different methods should be considered, based on further RAN1 conclusions.</w:t>
            </w:r>
          </w:p>
        </w:tc>
      </w:tr>
    </w:tbl>
    <w:p w14:paraId="0B10017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6DCD693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For measurement methods for CLI handling, in last meeting, it was agreed that RAN4 shall specify L1 CLI measurement requirements at least for Method #1 and Method #2, additional methods can be considered based on further RAN1 agreements.</w:t>
      </w:r>
    </w:p>
    <w:p w14:paraId="55A333A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In last RAN1 meeting, RAN1 further agreed to support Method #3: UE measures RSSI within UL subband. Since RAN1 has supported Method #3, it is necessary for RAN4 to specify L1 CLI measurement requirements for Method #3.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CA24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05D1D7C">
            <w:pPr>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highlight w:val="green"/>
                <w:lang w:val="en-US" w:eastAsia="zh-CN"/>
              </w:rPr>
              <w:t>RAN1 #119 Agreement</w:t>
            </w:r>
          </w:p>
          <w:p w14:paraId="57E9952D">
            <w:pPr>
              <w:rPr>
                <w:rFonts w:hint="default" w:ascii="Times New Roman" w:hAnsi="Times New Roman" w:eastAsia="宋体" w:cs="Times New Roman"/>
                <w:sz w:val="20"/>
                <w:szCs w:val="20"/>
              </w:rPr>
            </w:pPr>
            <w:r>
              <w:rPr>
                <w:rFonts w:hint="default" w:ascii="Times New Roman" w:hAnsi="Times New Roman" w:eastAsia="宋体" w:cs="Times New Roman"/>
                <w:sz w:val="20"/>
                <w:szCs w:val="20"/>
              </w:rPr>
              <w:t>For L1 UE-to-UE CLI measurement and reporting, Method#3 is supported</w:t>
            </w:r>
          </w:p>
          <w:p w14:paraId="370CD283">
            <w:pPr>
              <w:pStyle w:val="11"/>
              <w:numPr>
                <w:ilvl w:val="0"/>
                <w:numId w:val="5"/>
              </w:numPr>
              <w:tabs>
                <w:tab w:val="left" w:pos="0"/>
              </w:tabs>
              <w:suppressAutoHyphens/>
              <w:snapToGrid w:val="0"/>
              <w:ind w:leftChars="0"/>
              <w:jc w:val="both"/>
              <w:rPr>
                <w:rFonts w:hint="default" w:ascii="Times New Roman" w:hAnsi="Times New Roman" w:eastAsia="宋体" w:cs="Times New Roman"/>
                <w:sz w:val="20"/>
                <w:szCs w:val="20"/>
              </w:rPr>
            </w:pPr>
            <w:r>
              <w:rPr>
                <w:rFonts w:hint="default" w:ascii="Times New Roman" w:hAnsi="Times New Roman" w:eastAsia="宋体" w:cs="Times New Roman"/>
                <w:sz w:val="20"/>
                <w:szCs w:val="20"/>
              </w:rPr>
              <w:t>Method #3: UE measures RSSI within UL subband</w:t>
            </w:r>
          </w:p>
          <w:p w14:paraId="01F4CC67">
            <w:pPr>
              <w:pStyle w:val="11"/>
              <w:numPr>
                <w:ilvl w:val="0"/>
                <w:numId w:val="5"/>
              </w:numPr>
              <w:tabs>
                <w:tab w:val="left" w:pos="0"/>
              </w:tabs>
              <w:suppressAutoHyphens/>
              <w:snapToGrid w:val="0"/>
              <w:ind w:leftChars="0"/>
              <w:jc w:val="both"/>
              <w:rPr>
                <w:rFonts w:hint="default" w:ascii="Times New Roman" w:hAnsi="Times New Roman" w:eastAsia="等线" w:cs="Times New Roman"/>
                <w:iCs/>
                <w:sz w:val="20"/>
                <w:szCs w:val="20"/>
              </w:rPr>
            </w:pPr>
            <w:r>
              <w:rPr>
                <w:rFonts w:hint="default" w:ascii="Times New Roman" w:hAnsi="Times New Roman" w:eastAsia="宋体" w:cs="Times New Roman"/>
                <w:sz w:val="20"/>
                <w:szCs w:val="20"/>
              </w:rPr>
              <w:t xml:space="preserve">A UE cannot be configured to perform measurement using Method #1 and Methods#3 in the same OFDM symbol. Measurement resource(s) corresponding to Methods #1 and #3 shall not be associated with the same </w:t>
            </w:r>
            <w:r>
              <w:rPr>
                <w:rFonts w:hint="default" w:ascii="Times New Roman" w:hAnsi="Times New Roman" w:eastAsia="宋体" w:cs="Times New Roman"/>
                <w:i/>
                <w:iCs/>
                <w:sz w:val="20"/>
                <w:szCs w:val="20"/>
              </w:rPr>
              <w:t>CSI-ReportConfig</w:t>
            </w:r>
            <w:r>
              <w:rPr>
                <w:rFonts w:hint="default" w:ascii="Times New Roman" w:hAnsi="Times New Roman" w:eastAsia="宋体" w:cs="Times New Roman"/>
                <w:sz w:val="20"/>
                <w:szCs w:val="20"/>
              </w:rPr>
              <w:t>.</w:t>
            </w:r>
          </w:p>
          <w:p w14:paraId="508329C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vertAlign w:val="baseline"/>
                <w:lang w:val="en-US" w:eastAsia="zh-CN"/>
              </w:rPr>
            </w:pPr>
          </w:p>
          <w:p w14:paraId="127F9AB8">
            <w:pPr>
              <w:rPr>
                <w:rFonts w:hint="default" w:ascii="Times New Roman" w:hAnsi="Times New Roman" w:cs="Times New Roman"/>
                <w:b/>
                <w:bCs/>
                <w:sz w:val="20"/>
                <w:szCs w:val="20"/>
                <w:highlight w:val="green"/>
                <w:lang w:val="en-US" w:eastAsia="zh-CN"/>
              </w:rPr>
            </w:pPr>
            <w:r>
              <w:rPr>
                <w:rFonts w:hint="default" w:ascii="Times New Roman" w:hAnsi="Times New Roman" w:cs="Times New Roman"/>
                <w:b/>
                <w:bCs/>
                <w:sz w:val="20"/>
                <w:szCs w:val="20"/>
                <w:highlight w:val="green"/>
                <w:lang w:val="en-US" w:eastAsia="zh-CN"/>
              </w:rPr>
              <w:t xml:space="preserve">RAN1 #118bis </w:t>
            </w:r>
            <w:r>
              <w:rPr>
                <w:rFonts w:hint="default" w:ascii="Times New Roman" w:hAnsi="Times New Roman" w:cs="Times New Roman"/>
                <w:b/>
                <w:bCs/>
                <w:sz w:val="20"/>
                <w:szCs w:val="20"/>
                <w:highlight w:val="green"/>
              </w:rPr>
              <w:t>Agreement</w:t>
            </w:r>
            <w:r>
              <w:rPr>
                <w:rFonts w:hint="default" w:ascii="Times New Roman" w:hAnsi="Times New Roman" w:cs="Times New Roman"/>
                <w:b/>
                <w:bCs/>
                <w:sz w:val="20"/>
                <w:szCs w:val="20"/>
                <w:highlight w:val="green"/>
                <w:lang w:val="en-US" w:eastAsia="zh-CN"/>
              </w:rPr>
              <w:t>s</w:t>
            </w:r>
          </w:p>
          <w:p w14:paraId="3E805CFD">
            <w:pPr>
              <w:rPr>
                <w:rFonts w:hint="default" w:ascii="Times New Roman" w:hAnsi="Times New Roman" w:cs="Times New Roman"/>
                <w:b/>
                <w:bCs/>
                <w:sz w:val="20"/>
                <w:szCs w:val="20"/>
                <w:highlight w:val="green"/>
                <w:lang w:val="en-US" w:eastAsia="zh-CN"/>
              </w:rPr>
            </w:pPr>
          </w:p>
          <w:p w14:paraId="1EDACB53">
            <w:pPr>
              <w:suppressAutoHyphens/>
              <w:rPr>
                <w:rFonts w:hint="default" w:ascii="Times New Roman" w:hAnsi="Times New Roman" w:cs="Times New Roman"/>
                <w:iCs/>
                <w:color w:val="000000"/>
                <w:sz w:val="20"/>
                <w:szCs w:val="20"/>
              </w:rPr>
            </w:pPr>
            <w:r>
              <w:rPr>
                <w:rFonts w:hint="default" w:ascii="Times New Roman" w:hAnsi="Times New Roman" w:cs="Times New Roman"/>
                <w:iCs/>
                <w:color w:val="000000"/>
                <w:sz w:val="20"/>
                <w:szCs w:val="20"/>
              </w:rPr>
              <w:t>For Method#1 (RSSI measurement within DL subband), the frequency resources of CLI-RSSI measurement resource type#2 (</w:t>
            </w:r>
            <w:r>
              <w:rPr>
                <w:rFonts w:hint="default" w:ascii="Times New Roman" w:hAnsi="Times New Roman" w:eastAsia="Malgun Gothic" w:cs="Times New Roman"/>
                <w:bCs/>
                <w:sz w:val="20"/>
                <w:szCs w:val="20"/>
                <w:lang w:eastAsia="ko-KR"/>
              </w:rPr>
              <w:t>One CLI-RSSI measurement resource across two DL subbands</w:t>
            </w:r>
            <w:r>
              <w:rPr>
                <w:rFonts w:hint="default" w:ascii="Times New Roman" w:hAnsi="Times New Roman" w:cs="Times New Roman"/>
                <w:iCs/>
                <w:color w:val="000000"/>
                <w:sz w:val="20"/>
                <w:szCs w:val="20"/>
              </w:rPr>
              <w:t>) is derived by excluding the frequency resources outside DL usable PRBs.</w:t>
            </w:r>
          </w:p>
          <w:p w14:paraId="778D6F7C">
            <w:pPr>
              <w:pStyle w:val="11"/>
              <w:numPr>
                <w:ilvl w:val="0"/>
                <w:numId w:val="5"/>
              </w:numPr>
              <w:overflowPunct w:val="0"/>
              <w:ind w:leftChars="0"/>
              <w:textAlignment w:val="baseline"/>
              <w:rPr>
                <w:rFonts w:hint="default" w:ascii="Times New Roman" w:hAnsi="Times New Roman" w:cs="Times New Roman"/>
                <w:iCs/>
                <w:sz w:val="20"/>
                <w:szCs w:val="20"/>
              </w:rPr>
            </w:pPr>
            <w:r>
              <w:rPr>
                <w:rFonts w:hint="default" w:ascii="Times New Roman" w:hAnsi="Times New Roman" w:cs="Times New Roman"/>
                <w:sz w:val="20"/>
                <w:szCs w:val="20"/>
              </w:rPr>
              <w:t>A single wideband RSSI measurement report is supported</w:t>
            </w:r>
          </w:p>
          <w:p w14:paraId="467576FF">
            <w:pPr>
              <w:pStyle w:val="11"/>
              <w:numPr>
                <w:ilvl w:val="1"/>
                <w:numId w:val="5"/>
              </w:numPr>
              <w:overflowPunct w:val="0"/>
              <w:ind w:leftChars="0"/>
              <w:textAlignment w:val="baseline"/>
              <w:rPr>
                <w:rFonts w:hint="default" w:ascii="Times New Roman" w:hAnsi="Times New Roman" w:cs="Times New Roman"/>
                <w:iCs/>
                <w:sz w:val="20"/>
                <w:szCs w:val="20"/>
              </w:rPr>
            </w:pPr>
            <w:r>
              <w:rPr>
                <w:rFonts w:hint="default" w:ascii="Times New Roman" w:hAnsi="Times New Roman" w:cs="Times New Roman"/>
                <w:sz w:val="20"/>
                <w:szCs w:val="20"/>
              </w:rPr>
              <w:t>FFS: two per-DL-subband CLI-RSSI measurements reports with wideband report in each DL-subband.</w:t>
            </w:r>
          </w:p>
          <w:p w14:paraId="0214961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p>
          <w:p w14:paraId="26779C3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For L1 CLI-RSSI measurement, DL timing is used for Method #1 (UE measures RSSI within DL subband).</w:t>
            </w:r>
          </w:p>
          <w:p w14:paraId="73E477E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rPr>
            </w:pPr>
          </w:p>
          <w:p w14:paraId="467855C4">
            <w:pPr>
              <w:rPr>
                <w:rFonts w:hint="default" w:ascii="Times New Roman" w:hAnsi="Times New Roman" w:cs="Times New Roman"/>
                <w:b/>
                <w:bCs/>
                <w:sz w:val="20"/>
                <w:szCs w:val="20"/>
                <w:highlight w:val="green"/>
                <w:lang w:val="en-US" w:eastAsia="zh-CN"/>
              </w:rPr>
            </w:pPr>
            <w:r>
              <w:rPr>
                <w:rFonts w:hint="default" w:ascii="Times New Roman" w:hAnsi="Times New Roman" w:cs="Times New Roman"/>
                <w:b/>
                <w:bCs/>
                <w:sz w:val="20"/>
                <w:szCs w:val="20"/>
                <w:highlight w:val="green"/>
                <w:lang w:val="en-US" w:eastAsia="zh-CN"/>
              </w:rPr>
              <w:t xml:space="preserve">RAN1 #118 </w:t>
            </w:r>
            <w:r>
              <w:rPr>
                <w:rFonts w:hint="default" w:ascii="Times New Roman" w:hAnsi="Times New Roman" w:cs="Times New Roman"/>
                <w:b/>
                <w:bCs/>
                <w:sz w:val="20"/>
                <w:szCs w:val="20"/>
                <w:highlight w:val="green"/>
              </w:rPr>
              <w:t>Agreement</w:t>
            </w:r>
            <w:r>
              <w:rPr>
                <w:rFonts w:hint="default" w:ascii="Times New Roman" w:hAnsi="Times New Roman" w:cs="Times New Roman"/>
                <w:b/>
                <w:bCs/>
                <w:sz w:val="20"/>
                <w:szCs w:val="20"/>
                <w:highlight w:val="green"/>
                <w:lang w:val="en-US" w:eastAsia="zh-CN"/>
              </w:rPr>
              <w:t>s</w:t>
            </w:r>
          </w:p>
          <w:p w14:paraId="71F135B3">
            <w:pPr>
              <w:rPr>
                <w:rFonts w:hint="default" w:ascii="Times New Roman" w:hAnsi="Times New Roman" w:cs="Times New Roman"/>
                <w:b/>
                <w:bCs/>
                <w:sz w:val="20"/>
                <w:szCs w:val="20"/>
                <w:highlight w:val="green"/>
                <w:lang w:val="en-US" w:eastAsia="zh-CN"/>
              </w:rPr>
            </w:pPr>
          </w:p>
          <w:p w14:paraId="25BB1348">
            <w:pPr>
              <w:suppressAutoHyphens/>
              <w:rPr>
                <w:rFonts w:hint="default" w:ascii="Times New Roman" w:hAnsi="Times New Roman" w:eastAsia="宋体" w:cs="Times New Roman"/>
                <w:sz w:val="20"/>
                <w:szCs w:val="20"/>
              </w:rPr>
            </w:pPr>
            <w:r>
              <w:rPr>
                <w:rFonts w:hint="default" w:ascii="Times New Roman" w:hAnsi="Times New Roman" w:eastAsia="宋体" w:cs="Times New Roman"/>
                <w:sz w:val="20"/>
                <w:szCs w:val="20"/>
              </w:rPr>
              <w:t>For L1 UE-to-UE CLI measurement and reporting, CLI measurements is performed within the active DL BWP and the following are supported</w:t>
            </w:r>
          </w:p>
          <w:p w14:paraId="7BB87561">
            <w:pPr>
              <w:pStyle w:val="11"/>
              <w:widowControl w:val="0"/>
              <w:numPr>
                <w:ilvl w:val="0"/>
                <w:numId w:val="5"/>
              </w:numPr>
              <w:suppressAutoHyphens/>
              <w:adjustRightInd w:val="0"/>
              <w:snapToGrid w:val="0"/>
              <w:ind w:leftChars="0"/>
              <w:jc w:val="both"/>
              <w:rPr>
                <w:rFonts w:hint="default" w:ascii="Times New Roman" w:hAnsi="Times New Roman" w:eastAsia="宋体" w:cs="Times New Roman"/>
                <w:sz w:val="20"/>
                <w:szCs w:val="20"/>
              </w:rPr>
            </w:pPr>
            <w:r>
              <w:rPr>
                <w:rFonts w:hint="default" w:ascii="Times New Roman" w:hAnsi="Times New Roman" w:eastAsia="宋体" w:cs="Times New Roman"/>
                <w:sz w:val="20"/>
                <w:szCs w:val="20"/>
              </w:rPr>
              <w:t>Method#1: UE measures RSSI within DL subband</w:t>
            </w:r>
          </w:p>
          <w:p w14:paraId="02565F98">
            <w:pPr>
              <w:pStyle w:val="11"/>
              <w:widowControl w:val="0"/>
              <w:numPr>
                <w:ilvl w:val="0"/>
                <w:numId w:val="5"/>
              </w:numPr>
              <w:suppressAutoHyphens/>
              <w:adjustRightInd w:val="0"/>
              <w:snapToGrid w:val="0"/>
              <w:ind w:leftChars="0"/>
              <w:jc w:val="both"/>
              <w:rPr>
                <w:rFonts w:hint="default" w:ascii="Times New Roman" w:hAnsi="Times New Roman" w:eastAsia="宋体" w:cs="Times New Roman"/>
                <w:sz w:val="20"/>
                <w:szCs w:val="20"/>
              </w:rPr>
            </w:pPr>
            <w:r>
              <w:rPr>
                <w:rFonts w:hint="default" w:ascii="Times New Roman" w:hAnsi="Times New Roman" w:eastAsia="宋体" w:cs="Times New Roman"/>
                <w:sz w:val="20"/>
                <w:szCs w:val="20"/>
              </w:rPr>
              <w:t>Method#2: UE measures RSRP of aggressor UE within UL subband</w:t>
            </w:r>
          </w:p>
          <w:p w14:paraId="5B326A01">
            <w:pPr>
              <w:pStyle w:val="11"/>
              <w:widowControl w:val="0"/>
              <w:numPr>
                <w:ilvl w:val="0"/>
                <w:numId w:val="5"/>
              </w:numPr>
              <w:suppressAutoHyphens/>
              <w:adjustRightInd w:val="0"/>
              <w:snapToGrid w:val="0"/>
              <w:ind w:leftChars="0"/>
              <w:jc w:val="both"/>
              <w:rPr>
                <w:rFonts w:hint="default" w:ascii="Times New Roman" w:hAnsi="Times New Roman" w:eastAsia="宋体" w:cs="Times New Roman"/>
                <w:sz w:val="20"/>
                <w:szCs w:val="20"/>
              </w:rPr>
            </w:pPr>
            <w:r>
              <w:rPr>
                <w:rFonts w:hint="default" w:ascii="Times New Roman" w:hAnsi="Times New Roman" w:eastAsia="宋体" w:cs="Times New Roman"/>
                <w:sz w:val="20"/>
                <w:szCs w:val="20"/>
              </w:rPr>
              <w:t>FFS: Method#3: UE measures RSSI within UL subband</w:t>
            </w:r>
          </w:p>
          <w:p w14:paraId="3D3EF203">
            <w:pPr>
              <w:rPr>
                <w:rFonts w:hint="default" w:ascii="Times New Roman" w:hAnsi="Times New Roman" w:cs="Times New Roman"/>
                <w:b/>
                <w:bCs/>
                <w:sz w:val="20"/>
                <w:szCs w:val="20"/>
                <w:highlight w:val="green"/>
                <w:lang w:val="en-US" w:eastAsia="zh-CN"/>
              </w:rPr>
            </w:pPr>
          </w:p>
          <w:p w14:paraId="135127AF">
            <w:pPr>
              <w:overflowPunct/>
              <w:autoSpaceDE/>
              <w:autoSpaceDN/>
              <w:adjustRightInd/>
              <w:spacing w:after="0"/>
              <w:textAlignment w:val="auto"/>
              <w:rPr>
                <w:rFonts w:hint="default" w:ascii="Times New Roman" w:hAnsi="Times New Roman" w:eastAsia="Malgun Gothic" w:cs="Times New Roman"/>
                <w:bCs/>
                <w:sz w:val="20"/>
                <w:szCs w:val="20"/>
                <w:lang w:eastAsia="ko-KR"/>
              </w:rPr>
            </w:pPr>
            <w:r>
              <w:rPr>
                <w:rFonts w:hint="default" w:ascii="Times New Roman" w:hAnsi="Times New Roman" w:eastAsia="宋体" w:cs="Times New Roman"/>
                <w:sz w:val="20"/>
                <w:szCs w:val="20"/>
              </w:rPr>
              <w:t xml:space="preserve">For </w:t>
            </w:r>
            <w:r>
              <w:rPr>
                <w:rFonts w:hint="default" w:ascii="Times New Roman" w:hAnsi="Times New Roman" w:eastAsia="Batang" w:cs="Times New Roman"/>
                <w:sz w:val="20"/>
                <w:szCs w:val="20"/>
              </w:rPr>
              <w:t xml:space="preserve">frequency resource allocation of a </w:t>
            </w:r>
            <w:r>
              <w:rPr>
                <w:rFonts w:hint="default" w:ascii="Times New Roman" w:hAnsi="Times New Roman" w:eastAsia="Malgun Gothic" w:cs="Times New Roman"/>
                <w:bCs/>
                <w:sz w:val="20"/>
                <w:szCs w:val="20"/>
                <w:lang w:eastAsia="ko-KR"/>
              </w:rPr>
              <w:t>CLI-RSSI measurement resource, the following are supported</w:t>
            </w:r>
          </w:p>
          <w:p w14:paraId="1255EEE8">
            <w:pPr>
              <w:widowControl w:val="0"/>
              <w:numPr>
                <w:ilvl w:val="0"/>
                <w:numId w:val="5"/>
              </w:numPr>
              <w:suppressAutoHyphens/>
              <w:overflowPunct/>
              <w:autoSpaceDE/>
              <w:autoSpaceDN/>
              <w:adjustRightInd/>
              <w:snapToGrid w:val="0"/>
              <w:spacing w:after="0" w:line="240" w:lineRule="auto"/>
              <w:ind w:left="720"/>
              <w:textAlignment w:val="auto"/>
              <w:rPr>
                <w:rFonts w:hint="default" w:ascii="Times New Roman" w:hAnsi="Times New Roman" w:eastAsia="Malgun Gothic" w:cs="Times New Roman"/>
                <w:bCs/>
                <w:sz w:val="20"/>
                <w:szCs w:val="20"/>
                <w:lang w:eastAsia="ko-KR"/>
              </w:rPr>
            </w:pPr>
            <w:r>
              <w:rPr>
                <w:rFonts w:hint="default" w:ascii="Times New Roman" w:hAnsi="Times New Roman" w:eastAsia="Malgun Gothic" w:cs="Times New Roman"/>
                <w:bCs/>
                <w:sz w:val="20"/>
                <w:szCs w:val="20"/>
                <w:lang w:eastAsia="ko-KR"/>
              </w:rPr>
              <w:t>Measurement resource type#1: One CLI-RSSI measurement resource is configured within a DL subband</w:t>
            </w:r>
          </w:p>
          <w:p w14:paraId="6F394B1A">
            <w:pPr>
              <w:widowControl w:val="0"/>
              <w:numPr>
                <w:ilvl w:val="0"/>
                <w:numId w:val="5"/>
              </w:numPr>
              <w:suppressAutoHyphens/>
              <w:overflowPunct/>
              <w:autoSpaceDE/>
              <w:autoSpaceDN/>
              <w:adjustRightInd/>
              <w:snapToGrid w:val="0"/>
              <w:spacing w:after="0" w:line="240" w:lineRule="auto"/>
              <w:ind w:left="720"/>
              <w:textAlignment w:val="auto"/>
              <w:rPr>
                <w:rFonts w:hint="default" w:ascii="Times New Roman" w:hAnsi="Times New Roman" w:eastAsia="Malgun Gothic" w:cs="Times New Roman"/>
                <w:bCs/>
                <w:sz w:val="20"/>
                <w:szCs w:val="20"/>
                <w:lang w:eastAsia="ko-KR"/>
              </w:rPr>
            </w:pPr>
            <w:r>
              <w:rPr>
                <w:rFonts w:hint="default" w:ascii="Times New Roman" w:hAnsi="Times New Roman" w:eastAsia="Malgun Gothic" w:cs="Times New Roman"/>
                <w:bCs/>
                <w:sz w:val="20"/>
                <w:szCs w:val="20"/>
                <w:lang w:eastAsia="ko-KR"/>
              </w:rPr>
              <w:t>Measurement resource type#2: One CLI-RSSI measurement resource is configured across two DL subbands</w:t>
            </w:r>
          </w:p>
          <w:p w14:paraId="285442BE">
            <w:pPr>
              <w:widowControl w:val="0"/>
              <w:numPr>
                <w:ilvl w:val="0"/>
                <w:numId w:val="5"/>
              </w:numPr>
              <w:suppressAutoHyphens/>
              <w:overflowPunct/>
              <w:autoSpaceDE/>
              <w:autoSpaceDN/>
              <w:adjustRightInd/>
              <w:snapToGrid w:val="0"/>
              <w:spacing w:after="0" w:line="240" w:lineRule="auto"/>
              <w:ind w:left="720"/>
              <w:textAlignment w:val="auto"/>
              <w:rPr>
                <w:rFonts w:hint="default" w:ascii="Times New Roman" w:hAnsi="Times New Roman" w:eastAsia="Batang" w:cs="Times New Roman"/>
                <w:sz w:val="20"/>
                <w:szCs w:val="20"/>
                <w:lang w:eastAsia="zh-CN"/>
              </w:rPr>
            </w:pPr>
            <w:r>
              <w:rPr>
                <w:rFonts w:hint="default" w:ascii="Times New Roman" w:hAnsi="Times New Roman" w:eastAsia="Batang" w:cs="Times New Roman"/>
                <w:sz w:val="20"/>
                <w:szCs w:val="20"/>
                <w:lang w:eastAsia="zh-CN"/>
              </w:rPr>
              <w:t>FFS: Number of resources that can be configured</w:t>
            </w:r>
          </w:p>
          <w:p w14:paraId="04C87881">
            <w:pPr>
              <w:widowControl w:val="0"/>
              <w:numPr>
                <w:ilvl w:val="0"/>
                <w:numId w:val="5"/>
              </w:numPr>
              <w:suppressAutoHyphens/>
              <w:overflowPunct/>
              <w:autoSpaceDE/>
              <w:autoSpaceDN/>
              <w:adjustRightInd/>
              <w:snapToGrid w:val="0"/>
              <w:spacing w:after="0" w:line="240" w:lineRule="auto"/>
              <w:ind w:left="720"/>
              <w:textAlignment w:val="auto"/>
              <w:rPr>
                <w:rFonts w:hint="default" w:ascii="Times New Roman" w:hAnsi="Times New Roman" w:eastAsia="Batang" w:cs="Times New Roman"/>
                <w:sz w:val="20"/>
                <w:szCs w:val="20"/>
                <w:lang w:eastAsia="zh-CN"/>
              </w:rPr>
            </w:pPr>
            <w:r>
              <w:rPr>
                <w:rFonts w:hint="default" w:ascii="Times New Roman" w:hAnsi="Times New Roman" w:eastAsia="Batang" w:cs="Times New Roman"/>
                <w:sz w:val="20"/>
                <w:szCs w:val="20"/>
                <w:lang w:eastAsia="zh-CN"/>
              </w:rPr>
              <w:t>FFS: UE behavior for measurement</w:t>
            </w:r>
          </w:p>
          <w:p w14:paraId="4D113E00">
            <w:pPr>
              <w:rPr>
                <w:rFonts w:hint="default" w:ascii="Times New Roman" w:hAnsi="Times New Roman" w:cs="Times New Roman"/>
                <w:b/>
                <w:bCs/>
                <w:sz w:val="20"/>
                <w:szCs w:val="20"/>
                <w:highlight w:val="green"/>
                <w:lang w:val="en-US" w:eastAsia="zh-CN"/>
              </w:rPr>
            </w:pPr>
          </w:p>
          <w:p w14:paraId="1851FD39">
            <w:pPr>
              <w:overflowPunct/>
              <w:autoSpaceDE/>
              <w:autoSpaceDN/>
              <w:adjustRightInd/>
              <w:spacing w:after="0"/>
              <w:textAlignment w:val="auto"/>
              <w:rPr>
                <w:rFonts w:hint="default" w:ascii="Times New Roman" w:hAnsi="Times New Roman" w:eastAsia="Malgun Gothic" w:cs="Times New Roman"/>
                <w:bCs/>
                <w:color w:val="000000"/>
                <w:sz w:val="20"/>
                <w:szCs w:val="20"/>
                <w:lang w:eastAsia="ko-KR"/>
              </w:rPr>
            </w:pPr>
            <w:r>
              <w:rPr>
                <w:rFonts w:hint="default" w:ascii="Times New Roman" w:hAnsi="Times New Roman" w:eastAsia="宋体" w:cs="Times New Roman"/>
                <w:sz w:val="20"/>
                <w:szCs w:val="20"/>
              </w:rPr>
              <w:t xml:space="preserve">For </w:t>
            </w:r>
            <w:r>
              <w:rPr>
                <w:rFonts w:hint="default" w:ascii="Times New Roman" w:hAnsi="Times New Roman" w:eastAsia="Batang" w:cs="Times New Roman"/>
                <w:sz w:val="20"/>
                <w:szCs w:val="20"/>
              </w:rPr>
              <w:t xml:space="preserve">L1 UE-to-UE </w:t>
            </w:r>
            <w:r>
              <w:rPr>
                <w:rFonts w:hint="default" w:ascii="Times New Roman" w:hAnsi="Times New Roman" w:eastAsia="Malgun Gothic" w:cs="Times New Roman"/>
                <w:bCs/>
                <w:color w:val="000000"/>
                <w:sz w:val="20"/>
                <w:szCs w:val="20"/>
                <w:lang w:eastAsia="ko-KR"/>
              </w:rPr>
              <w:t>CLI measurement and reporting, the following are supported</w:t>
            </w:r>
          </w:p>
          <w:p w14:paraId="2D4B876C">
            <w:pPr>
              <w:widowControl w:val="0"/>
              <w:numPr>
                <w:ilvl w:val="0"/>
                <w:numId w:val="5"/>
              </w:numPr>
              <w:suppressAutoHyphens/>
              <w:overflowPunct/>
              <w:autoSpaceDE/>
              <w:autoSpaceDN/>
              <w:adjustRightInd/>
              <w:snapToGrid w:val="0"/>
              <w:spacing w:after="0" w:line="240" w:lineRule="auto"/>
              <w:ind w:left="720"/>
              <w:textAlignment w:val="auto"/>
              <w:rPr>
                <w:rFonts w:hint="default" w:ascii="Times New Roman" w:hAnsi="Times New Roman" w:eastAsia="Malgun Gothic" w:cs="Times New Roman"/>
                <w:bCs/>
                <w:sz w:val="20"/>
                <w:szCs w:val="20"/>
                <w:lang w:eastAsia="ko-KR"/>
              </w:rPr>
            </w:pPr>
            <w:r>
              <w:rPr>
                <w:rFonts w:hint="default" w:ascii="Times New Roman" w:hAnsi="Times New Roman" w:eastAsia="Malgun Gothic" w:cs="Times New Roman"/>
                <w:bCs/>
                <w:sz w:val="20"/>
                <w:szCs w:val="20"/>
                <w:lang w:eastAsia="ko-KR"/>
              </w:rPr>
              <w:t>Wideband CLI-RSRP reporting</w:t>
            </w:r>
          </w:p>
          <w:p w14:paraId="7F6B01A2">
            <w:pPr>
              <w:widowControl w:val="0"/>
              <w:numPr>
                <w:ilvl w:val="0"/>
                <w:numId w:val="5"/>
              </w:numPr>
              <w:suppressAutoHyphens/>
              <w:overflowPunct/>
              <w:autoSpaceDE/>
              <w:autoSpaceDN/>
              <w:adjustRightInd/>
              <w:snapToGrid w:val="0"/>
              <w:spacing w:after="0" w:line="240" w:lineRule="auto"/>
              <w:ind w:left="720"/>
              <w:textAlignment w:val="auto"/>
              <w:rPr>
                <w:rFonts w:hint="default" w:ascii="Times New Roman" w:hAnsi="Times New Roman" w:eastAsia="Malgun Gothic" w:cs="Times New Roman"/>
                <w:bCs/>
                <w:sz w:val="20"/>
                <w:szCs w:val="20"/>
                <w:lang w:eastAsia="ko-KR"/>
              </w:rPr>
            </w:pPr>
            <w:r>
              <w:rPr>
                <w:rFonts w:hint="default" w:ascii="Times New Roman" w:hAnsi="Times New Roman" w:eastAsia="Malgun Gothic" w:cs="Times New Roman"/>
                <w:bCs/>
                <w:sz w:val="20"/>
                <w:szCs w:val="20"/>
                <w:lang w:eastAsia="ko-KR"/>
              </w:rPr>
              <w:t>Wideband CLI-RSSI reporting</w:t>
            </w:r>
          </w:p>
          <w:p w14:paraId="198BA7BD">
            <w:pPr>
              <w:widowControl w:val="0"/>
              <w:numPr>
                <w:ilvl w:val="0"/>
                <w:numId w:val="5"/>
              </w:numPr>
              <w:suppressAutoHyphens/>
              <w:overflowPunct/>
              <w:autoSpaceDE/>
              <w:autoSpaceDN/>
              <w:adjustRightInd/>
              <w:snapToGrid w:val="0"/>
              <w:spacing w:after="0" w:line="240" w:lineRule="auto"/>
              <w:ind w:left="720"/>
              <w:textAlignment w:val="auto"/>
              <w:rPr>
                <w:rFonts w:hint="default" w:ascii="Times New Roman" w:hAnsi="Times New Roman" w:cs="Times New Roman"/>
                <w:sz w:val="20"/>
                <w:szCs w:val="20"/>
                <w:lang w:val="en-US" w:eastAsia="zh-CN"/>
              </w:rPr>
            </w:pPr>
            <w:r>
              <w:rPr>
                <w:rFonts w:hint="default" w:ascii="Times New Roman" w:hAnsi="Times New Roman" w:eastAsia="Batang" w:cs="Times New Roman"/>
                <w:bCs/>
                <w:sz w:val="20"/>
                <w:szCs w:val="20"/>
                <w:lang w:eastAsia="zh-CN"/>
              </w:rPr>
              <w:t>FFS: Subband CLI-RSSI reporting</w:t>
            </w:r>
          </w:p>
          <w:p w14:paraId="1CF45049">
            <w:pPr>
              <w:widowControl w:val="0"/>
              <w:numPr>
                <w:ilvl w:val="0"/>
                <w:numId w:val="5"/>
              </w:numPr>
              <w:suppressAutoHyphens/>
              <w:overflowPunct/>
              <w:autoSpaceDE/>
              <w:autoSpaceDN/>
              <w:adjustRightInd/>
              <w:snapToGrid w:val="0"/>
              <w:spacing w:after="0" w:line="240" w:lineRule="auto"/>
              <w:ind w:left="720"/>
              <w:textAlignment w:val="auto"/>
              <w:rPr>
                <w:rFonts w:hint="default" w:ascii="Times New Roman" w:hAnsi="Times New Roman" w:cs="Times New Roman"/>
                <w:sz w:val="20"/>
                <w:szCs w:val="20"/>
                <w:lang w:val="en-US" w:eastAsia="zh-CN"/>
              </w:rPr>
            </w:pPr>
          </w:p>
        </w:tc>
      </w:tr>
    </w:tbl>
    <w:p w14:paraId="1CE44E2C">
      <w:pPr>
        <w:keepNext w:val="0"/>
        <w:keepLines w:val="0"/>
        <w:pageBreakBefore w:val="0"/>
        <w:widowControl w:val="0"/>
        <w:kinsoku w:val="0"/>
        <w:wordWrap/>
        <w:overflowPunct w:val="0"/>
        <w:topLinePunct w:val="0"/>
        <w:autoSpaceDE w:val="0"/>
        <w:autoSpaceDN w:val="0"/>
        <w:bidi w:val="0"/>
        <w:adjustRightInd/>
        <w:snapToGrid/>
        <w:spacing w:after="180" w:line="240" w:lineRule="auto"/>
        <w:textAlignment w:val="auto"/>
        <w:rPr>
          <w:rFonts w:hint="default" w:ascii="Times New Roman" w:hAnsi="Times New Roman"/>
          <w:sz w:val="20"/>
          <w:szCs w:val="20"/>
          <w:lang w:val="en-US" w:eastAsia="zh-CN"/>
        </w:rPr>
      </w:pPr>
    </w:p>
    <w:p w14:paraId="61DC8029">
      <w:pPr>
        <w:keepNext w:val="0"/>
        <w:keepLines w:val="0"/>
        <w:pageBreakBefore w:val="0"/>
        <w:widowControl w:val="0"/>
        <w:kinsoku w:val="0"/>
        <w:wordWrap/>
        <w:overflowPunct w:val="0"/>
        <w:topLinePunct w:val="0"/>
        <w:autoSpaceDE w:val="0"/>
        <w:autoSpaceDN w:val="0"/>
        <w:bidi w:val="0"/>
        <w:adjustRightInd/>
        <w:snapToGrid/>
        <w:spacing w:after="180" w:line="240" w:lineRule="auto"/>
        <w:textAlignment w:val="auto"/>
        <w:rPr>
          <w:rFonts w:hint="default" w:ascii="Times New Roman" w:hAnsi="Times New Roman" w:eastAsia="宋体" w:cs="Times New Roman"/>
          <w:b/>
          <w:bCs/>
          <w:i/>
          <w:iCs/>
          <w:sz w:val="20"/>
          <w:szCs w:val="20"/>
          <w:lang w:val="en-US" w:eastAsia="zh-CN"/>
        </w:rPr>
      </w:pPr>
      <w:r>
        <w:rPr>
          <w:rFonts w:hint="eastAsia" w:ascii="Times New Roman" w:hAnsi="Times New Roman"/>
          <w:b/>
          <w:bCs/>
          <w:i/>
          <w:iCs/>
          <w:sz w:val="20"/>
          <w:szCs w:val="20"/>
          <w:lang w:val="en-US" w:eastAsia="zh-CN"/>
        </w:rPr>
        <w:t xml:space="preserve">Proposal 1: it is proposed that RAN4 specify requirements for </w:t>
      </w:r>
      <w:r>
        <w:rPr>
          <w:rFonts w:hint="default" w:ascii="Times New Roman" w:hAnsi="Times New Roman" w:eastAsia="宋体" w:cs="Times New Roman"/>
          <w:b/>
          <w:bCs/>
          <w:i/>
          <w:iCs/>
          <w:sz w:val="20"/>
          <w:szCs w:val="20"/>
          <w:lang w:val="en-US" w:eastAsia="zh-CN"/>
        </w:rPr>
        <w:t>Method#</w:t>
      </w:r>
      <w:r>
        <w:rPr>
          <w:rFonts w:hint="eastAsia" w:ascii="Times New Roman" w:hAnsi="Times New Roman" w:cs="Times New Roman"/>
          <w:b/>
          <w:bCs/>
          <w:i/>
          <w:iCs/>
          <w:sz w:val="20"/>
          <w:szCs w:val="20"/>
          <w:lang w:val="en-US" w:eastAsia="zh-CN"/>
        </w:rPr>
        <w:t>3</w:t>
      </w:r>
      <w:r>
        <w:rPr>
          <w:rFonts w:hint="default" w:ascii="Times New Roman" w:hAnsi="Times New Roman" w:eastAsia="宋体" w:cs="Times New Roman"/>
          <w:b/>
          <w:bCs/>
          <w:i/>
          <w:iCs/>
          <w:sz w:val="20"/>
          <w:szCs w:val="20"/>
          <w:lang w:val="en-US" w:eastAsia="zh-CN"/>
        </w:rPr>
        <w:t>:</w:t>
      </w:r>
      <w:r>
        <w:rPr>
          <w:rFonts w:hint="eastAsia" w:ascii="Times New Roman" w:hAnsi="Times New Roman" w:cs="Times New Roman"/>
          <w:b/>
          <w:bCs/>
          <w:i/>
          <w:iCs/>
          <w:sz w:val="20"/>
          <w:szCs w:val="20"/>
          <w:lang w:val="en-US" w:eastAsia="zh-CN"/>
        </w:rPr>
        <w:t xml:space="preserve"> UE measures RSSI within UL subband.</w:t>
      </w:r>
      <w:r>
        <w:rPr>
          <w:rFonts w:hint="default" w:ascii="Times New Roman" w:hAnsi="Times New Roman" w:eastAsia="宋体" w:cs="Times New Roman"/>
          <w:b/>
          <w:bCs/>
          <w:i/>
          <w:iCs/>
          <w:sz w:val="20"/>
          <w:szCs w:val="20"/>
          <w:lang w:val="en-US" w:eastAsia="zh-CN"/>
        </w:rPr>
        <w:t xml:space="preserve">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D09C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65338E27">
            <w:pPr>
              <w:keepNext w:val="0"/>
              <w:keepLines w:val="0"/>
              <w:pageBreakBefore w:val="0"/>
              <w:widowControl w:val="0"/>
              <w:kinsoku w:val="0"/>
              <w:wordWrap/>
              <w:overflowPunct w:val="0"/>
              <w:topLinePunct w:val="0"/>
              <w:autoSpaceDE w:val="0"/>
              <w:autoSpaceDN w:val="0"/>
              <w:bidi w:val="0"/>
              <w:adjustRightInd/>
              <w:snapToGrid/>
              <w:spacing w:after="180" w:line="240" w:lineRule="auto"/>
              <w:textAlignment w:val="auto"/>
              <w:rPr>
                <w:rFonts w:hint="default" w:ascii="Times New Roman" w:hAnsi="Times New Roman" w:cs="Times New Roman"/>
                <w:sz w:val="20"/>
                <w:szCs w:val="20"/>
              </w:rPr>
            </w:pPr>
            <w:r>
              <w:rPr>
                <w:rFonts w:hint="eastAsia" w:ascii="Times New Roman" w:hAnsi="Times New Roman" w:cs="Times New Roman"/>
                <w:b w:val="0"/>
                <w:bCs w:val="0"/>
                <w:i w:val="0"/>
                <w:iCs w:val="0"/>
                <w:sz w:val="20"/>
                <w:szCs w:val="20"/>
                <w:vertAlign w:val="baseline"/>
                <w:lang w:val="en-US" w:eastAsia="zh-CN"/>
              </w:rPr>
              <w:t xml:space="preserve">Issue 1-1-4: </w:t>
            </w:r>
            <w:r>
              <w:rPr>
                <w:rFonts w:hint="default" w:ascii="Times New Roman" w:hAnsi="Times New Roman" w:cs="Times New Roman"/>
                <w:b w:val="0"/>
                <w:bCs w:val="0"/>
                <w:i w:val="0"/>
                <w:iCs w:val="0"/>
                <w:sz w:val="20"/>
                <w:szCs w:val="20"/>
              </w:rPr>
              <w:t>M</w:t>
            </w:r>
            <w:r>
              <w:rPr>
                <w:rFonts w:hint="default" w:ascii="Times New Roman" w:hAnsi="Times New Roman" w:cs="Times New Roman"/>
                <w:sz w:val="20"/>
                <w:szCs w:val="20"/>
              </w:rPr>
              <w:t>easurement resources</w:t>
            </w:r>
          </w:p>
          <w:p w14:paraId="3B3B4518">
            <w:pPr>
              <w:pStyle w:val="11"/>
              <w:keepNext/>
              <w:pageBreakBefore w:val="0"/>
              <w:widowControl w:val="0"/>
              <w:numPr>
                <w:ilvl w:val="0"/>
                <w:numId w:val="4"/>
              </w:numPr>
              <w:kinsoku/>
              <w:wordWrap/>
              <w:overflowPunct/>
              <w:topLinePunct w:val="0"/>
              <w:autoSpaceDE/>
              <w:autoSpaceDN/>
              <w:bidi w:val="0"/>
              <w:adjustRightInd/>
              <w:snapToGri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Proposals</w:t>
            </w:r>
          </w:p>
          <w:p w14:paraId="283EFCE8">
            <w:pPr>
              <w:pStyle w:val="11"/>
              <w:keepNext/>
              <w:pageBreakBefore w:val="0"/>
              <w:widowControl w:val="0"/>
              <w:numPr>
                <w:ilvl w:val="1"/>
                <w:numId w:val="4"/>
              </w:numPr>
              <w:kinsoku/>
              <w:wordWrap/>
              <w:overflowPunct/>
              <w:topLinePunct w:val="0"/>
              <w:autoSpaceDE/>
              <w:autoSpaceDN/>
              <w:bidi w:val="0"/>
              <w:adjustRightInd/>
              <w:snapToGrid/>
              <w:spacing w:after="120"/>
              <w:ind w:left="144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 xml:space="preserve">Proposal 1 (CMCC, ZTE, MTK, Samsung): </w:t>
            </w:r>
          </w:p>
          <w:p w14:paraId="28785F91">
            <w:pPr>
              <w:pStyle w:val="11"/>
              <w:keepNext/>
              <w:pageBreakBefore w:val="0"/>
              <w:widowControl w:val="0"/>
              <w:numPr>
                <w:ilvl w:val="2"/>
                <w:numId w:val="4"/>
              </w:numPr>
              <w:kinsoku/>
              <w:wordWrap/>
              <w:overflowPunct/>
              <w:topLinePunct w:val="0"/>
              <w:autoSpaceDE/>
              <w:autoSpaceDN/>
              <w:bidi w:val="0"/>
              <w:adjustRightInd/>
              <w:snapToGri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RAN4 firstly define requirements based on wideband reporting, and further discuss sub-band reporting pending on RAN1 progress.</w:t>
            </w:r>
          </w:p>
          <w:p w14:paraId="0138F7C6">
            <w:pPr>
              <w:pStyle w:val="11"/>
              <w:keepNext/>
              <w:pageBreakBefore w:val="0"/>
              <w:widowControl w:val="0"/>
              <w:numPr>
                <w:ilvl w:val="1"/>
                <w:numId w:val="4"/>
              </w:numPr>
              <w:kinsoku/>
              <w:wordWrap/>
              <w:overflowPunct/>
              <w:topLinePunct w:val="0"/>
              <w:autoSpaceDE/>
              <w:autoSpaceDN/>
              <w:bidi w:val="0"/>
              <w:adjustRightInd/>
              <w:snapToGrid/>
              <w:spacing w:after="120"/>
              <w:ind w:left="144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 xml:space="preserve">Proposal 2 (Nokia): </w:t>
            </w:r>
          </w:p>
          <w:p w14:paraId="48A96D65">
            <w:pPr>
              <w:pStyle w:val="11"/>
              <w:keepNext/>
              <w:pageBreakBefore w:val="0"/>
              <w:widowControl w:val="0"/>
              <w:numPr>
                <w:ilvl w:val="2"/>
                <w:numId w:val="4"/>
              </w:numPr>
              <w:kinsoku/>
              <w:wordWrap/>
              <w:overflowPunct/>
              <w:topLinePunct w:val="0"/>
              <w:autoSpaceDE/>
              <w:autoSpaceDN/>
              <w:bidi w:val="0"/>
              <w:adjustRightInd/>
              <w:snapToGri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RAN4 should define new requirements for the sub-band CLI-RSSI reporting supported by RAN1. Sub-band CLI-RSSI reporting is applicable for both measurement resource type #1 and type #2.</w:t>
            </w:r>
          </w:p>
          <w:p w14:paraId="7B4AB95E">
            <w:pPr>
              <w:pStyle w:val="11"/>
              <w:keepNext/>
              <w:pageBreakBefore w:val="0"/>
              <w:widowControl w:val="0"/>
              <w:numPr>
                <w:ilvl w:val="1"/>
                <w:numId w:val="4"/>
              </w:numPr>
              <w:kinsoku/>
              <w:wordWrap/>
              <w:overflowPunct/>
              <w:topLinePunct w:val="0"/>
              <w:autoSpaceDE/>
              <w:autoSpaceDN/>
              <w:bidi w:val="0"/>
              <w:adjustRightInd/>
              <w:snapToGrid/>
              <w:spacing w:after="120"/>
              <w:ind w:left="144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 xml:space="preserve">Proposal 3 (CATT, MTK): </w:t>
            </w:r>
          </w:p>
          <w:p w14:paraId="1FD9D41D">
            <w:pPr>
              <w:pStyle w:val="11"/>
              <w:keepNext/>
              <w:pageBreakBefore w:val="0"/>
              <w:widowControl w:val="0"/>
              <w:numPr>
                <w:ilvl w:val="2"/>
                <w:numId w:val="4"/>
              </w:numPr>
              <w:kinsoku/>
              <w:wordWrap/>
              <w:overflowPunct/>
              <w:topLinePunct w:val="0"/>
              <w:autoSpaceDE/>
              <w:autoSpaceDN/>
              <w:bidi w:val="0"/>
              <w:adjustRightInd/>
              <w:snapToGri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cs="Times New Roman"/>
                <w:sz w:val="20"/>
                <w:szCs w:val="20"/>
              </w:rPr>
              <w:t>RAN4 to evaluate whether the legacy CLI-RSSI measurement accuracy requirements are applicable for L1 CLI-RSSI measurements, when one CLI-RSSI resource occupies two discontinuous DL subbands (</w:t>
            </w:r>
            <w:r>
              <w:rPr>
                <w:rFonts w:hint="default" w:ascii="Times New Roman" w:hAnsi="Times New Roman" w:eastAsia="宋体" w:cs="Times New Roman"/>
                <w:sz w:val="20"/>
                <w:szCs w:val="20"/>
                <w:lang w:eastAsia="zh-CN"/>
              </w:rPr>
              <w:t>measurement resource type#2</w:t>
            </w:r>
            <w:r>
              <w:rPr>
                <w:rFonts w:hint="default" w:ascii="Times New Roman" w:hAnsi="Times New Roman" w:cs="Times New Roman"/>
                <w:sz w:val="20"/>
                <w:szCs w:val="20"/>
              </w:rPr>
              <w:t>)</w:t>
            </w:r>
          </w:p>
          <w:p w14:paraId="25C78FA0">
            <w:pPr>
              <w:pStyle w:val="11"/>
              <w:keepNext/>
              <w:pageBreakBefore w:val="0"/>
              <w:widowControl w:val="0"/>
              <w:numPr>
                <w:ilvl w:val="1"/>
                <w:numId w:val="4"/>
              </w:numPr>
              <w:kinsoku/>
              <w:wordWrap/>
              <w:overflowPunct/>
              <w:topLinePunct w:val="0"/>
              <w:autoSpaceDE/>
              <w:autoSpaceDN/>
              <w:bidi w:val="0"/>
              <w:adjustRightInd/>
              <w:snapToGrid/>
              <w:spacing w:after="120"/>
              <w:ind w:left="144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 xml:space="preserve">Proposal 4 (vivo): </w:t>
            </w:r>
          </w:p>
          <w:p w14:paraId="4ABE5B0E">
            <w:pPr>
              <w:pStyle w:val="11"/>
              <w:keepNext/>
              <w:pageBreakBefore w:val="0"/>
              <w:widowControl w:val="0"/>
              <w:numPr>
                <w:ilvl w:val="2"/>
                <w:numId w:val="4"/>
              </w:numPr>
              <w:kinsoku/>
              <w:wordWrap/>
              <w:overflowPunct/>
              <w:topLinePunct w:val="0"/>
              <w:autoSpaceDE/>
              <w:autoSpaceDN/>
              <w:bidi w:val="0"/>
              <w:adjustRightInd/>
              <w:snapToGri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For the wide-band reporting when measurement results from different discontinuous DL subbands need be combined </w:t>
            </w:r>
            <w:r>
              <w:rPr>
                <w:rFonts w:hint="default" w:ascii="Times New Roman" w:hAnsi="Times New Roman" w:cs="Times New Roman"/>
                <w:sz w:val="20"/>
                <w:szCs w:val="20"/>
              </w:rPr>
              <w:t>(</w:t>
            </w:r>
            <w:r>
              <w:rPr>
                <w:rFonts w:hint="default" w:ascii="Times New Roman" w:hAnsi="Times New Roman" w:eastAsia="宋体" w:cs="Times New Roman"/>
                <w:sz w:val="20"/>
                <w:szCs w:val="20"/>
                <w:lang w:eastAsia="zh-CN"/>
              </w:rPr>
              <w:t>measurement resource type#2</w:t>
            </w:r>
            <w:r>
              <w:rPr>
                <w:rFonts w:hint="default" w:ascii="Times New Roman" w:hAnsi="Times New Roman" w:cs="Times New Roman"/>
                <w:sz w:val="20"/>
                <w:szCs w:val="20"/>
              </w:rPr>
              <w:t>)</w:t>
            </w:r>
            <w:r>
              <w:rPr>
                <w:rFonts w:hint="default" w:ascii="Times New Roman" w:hAnsi="Times New Roman" w:eastAsia="宋体" w:cs="Times New Roman"/>
                <w:sz w:val="20"/>
                <w:szCs w:val="20"/>
                <w:lang w:eastAsia="zh-CN"/>
              </w:rPr>
              <w:t>, how to combine the measurement results could be up to UE implementation.</w:t>
            </w:r>
          </w:p>
          <w:p w14:paraId="7D558122">
            <w:pPr>
              <w:pStyle w:val="11"/>
              <w:keepNext/>
              <w:pageBreakBefore w:val="0"/>
              <w:widowControl w:val="0"/>
              <w:numPr>
                <w:ilvl w:val="1"/>
                <w:numId w:val="4"/>
              </w:numPr>
              <w:kinsoku/>
              <w:wordWrap/>
              <w:overflowPunct/>
              <w:topLinePunct w:val="0"/>
              <w:autoSpaceDE/>
              <w:autoSpaceDN/>
              <w:bidi w:val="0"/>
              <w:adjustRightInd/>
              <w:snapToGrid/>
              <w:spacing w:after="120"/>
              <w:ind w:left="144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 xml:space="preserve">Proposal 5 (LGE): </w:t>
            </w:r>
          </w:p>
          <w:p w14:paraId="0D6B218C">
            <w:pPr>
              <w:pStyle w:val="11"/>
              <w:keepNext/>
              <w:pageBreakBefore w:val="0"/>
              <w:widowControl w:val="0"/>
              <w:numPr>
                <w:ilvl w:val="2"/>
                <w:numId w:val="4"/>
              </w:numPr>
              <w:kinsoku/>
              <w:wordWrap/>
              <w:overflowPunct/>
              <w:topLinePunct w:val="0"/>
              <w:autoSpaceDE/>
              <w:autoSpaceDN/>
              <w:bidi w:val="0"/>
              <w:adjustRightInd/>
              <w:snapToGri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RAN4 need to wait for RAN1 conclusion on measurement resources to discuss whether is an impact on the requirements.</w:t>
            </w:r>
          </w:p>
          <w:p w14:paraId="503B9D65">
            <w:pPr>
              <w:pStyle w:val="11"/>
              <w:keepNext/>
              <w:pageBreakBefore w:val="0"/>
              <w:widowControl w:val="0"/>
              <w:numPr>
                <w:ilvl w:val="1"/>
                <w:numId w:val="4"/>
              </w:numPr>
              <w:kinsoku/>
              <w:wordWrap/>
              <w:overflowPunct/>
              <w:topLinePunct w:val="0"/>
              <w:autoSpaceDE/>
              <w:autoSpaceDN/>
              <w:bidi w:val="0"/>
              <w:adjustRightInd/>
              <w:snapToGrid/>
              <w:spacing w:after="120"/>
              <w:ind w:left="144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 xml:space="preserve">Proposal 6 (HW): </w:t>
            </w:r>
          </w:p>
          <w:p w14:paraId="50889B1B">
            <w:pPr>
              <w:pStyle w:val="11"/>
              <w:keepNext/>
              <w:pageBreakBefore w:val="0"/>
              <w:widowControl w:val="0"/>
              <w:numPr>
                <w:ilvl w:val="2"/>
                <w:numId w:val="4"/>
              </w:numPr>
              <w:kinsoku/>
              <w:wordWrap/>
              <w:overflowPunct/>
              <w:topLinePunct w:val="0"/>
              <w:autoSpaceDE/>
              <w:autoSpaceDN/>
              <w:bidi w:val="0"/>
              <w:adjustRightInd/>
              <w:snapToGri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RAN4 to confirm that measurement delay and accuracy requirements for L1-CLI-RSSI are agnostic to measurement resource or reporting configuration.</w:t>
            </w:r>
          </w:p>
          <w:p w14:paraId="76F4B05B">
            <w:pPr>
              <w:pStyle w:val="11"/>
              <w:keepNext/>
              <w:pageBreakBefore w:val="0"/>
              <w:widowControl w:val="0"/>
              <w:numPr>
                <w:ilvl w:val="1"/>
                <w:numId w:val="4"/>
              </w:numPr>
              <w:kinsoku/>
              <w:wordWrap/>
              <w:overflowPunct/>
              <w:topLinePunct w:val="0"/>
              <w:autoSpaceDE/>
              <w:autoSpaceDN/>
              <w:bidi w:val="0"/>
              <w:adjustRightInd/>
              <w:snapToGrid/>
              <w:spacing w:after="120"/>
              <w:ind w:left="144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 xml:space="preserve">Proposal 7 (vivo): </w:t>
            </w:r>
          </w:p>
          <w:p w14:paraId="24E0440E">
            <w:pPr>
              <w:pStyle w:val="11"/>
              <w:keepNext/>
              <w:pageBreakBefore w:val="0"/>
              <w:widowControl w:val="0"/>
              <w:numPr>
                <w:ilvl w:val="2"/>
                <w:numId w:val="4"/>
              </w:numPr>
              <w:kinsoku/>
              <w:wordWrap/>
              <w:overflowPunct/>
              <w:topLinePunct w:val="0"/>
              <w:autoSpaceDE/>
              <w:autoSpaceDN/>
              <w:bidi w:val="0"/>
              <w:adjustRightInd/>
              <w:snapToGri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RAN4 needs to discuss the applicability of requirements when the number of RBs used for measurement is less than 48.</w:t>
            </w:r>
          </w:p>
          <w:p w14:paraId="37D14C77">
            <w:pPr>
              <w:pStyle w:val="11"/>
              <w:keepNext/>
              <w:pageBreakBefore w:val="0"/>
              <w:widowControl w:val="0"/>
              <w:numPr>
                <w:ilvl w:val="1"/>
                <w:numId w:val="4"/>
              </w:numPr>
              <w:kinsoku/>
              <w:wordWrap/>
              <w:overflowPunct/>
              <w:topLinePunct w:val="0"/>
              <w:autoSpaceDE/>
              <w:autoSpaceDN/>
              <w:bidi w:val="0"/>
              <w:adjustRightInd/>
              <w:snapToGrid/>
              <w:spacing w:after="120"/>
              <w:ind w:left="144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 xml:space="preserve">Proposal 8 (MTK): </w:t>
            </w:r>
          </w:p>
          <w:p w14:paraId="3B92F2C9">
            <w:pPr>
              <w:pStyle w:val="11"/>
              <w:keepNext/>
              <w:pageBreakBefore w:val="0"/>
              <w:widowControl w:val="0"/>
              <w:numPr>
                <w:ilvl w:val="2"/>
                <w:numId w:val="4"/>
              </w:numPr>
              <w:kinsoku/>
              <w:wordWrap/>
              <w:overflowPunct/>
              <w:topLinePunct w:val="0"/>
              <w:autoSpaceDE/>
              <w:autoSpaceDN/>
              <w:bidi w:val="0"/>
              <w:adjustRightInd/>
              <w:snapToGrid/>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measurement resource type#1: One CLI-RSSI measurement resource is configured within a DL subband, existing requirements are applicable provided that the minimum number of resources are satisfied.</w:t>
            </w:r>
          </w:p>
          <w:p w14:paraId="65D0100B">
            <w:pPr>
              <w:pStyle w:val="11"/>
              <w:keepNext/>
              <w:pageBreakBefore w:val="0"/>
              <w:widowControl w:val="0"/>
              <w:numPr>
                <w:ilvl w:val="1"/>
                <w:numId w:val="4"/>
              </w:numPr>
              <w:kinsoku/>
              <w:wordWrap/>
              <w:overflowPunct/>
              <w:topLinePunct w:val="0"/>
              <w:autoSpaceDE/>
              <w:autoSpaceDN/>
              <w:bidi w:val="0"/>
              <w:adjustRightInd/>
              <w:snapToGrid/>
              <w:spacing w:after="120"/>
              <w:ind w:left="144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 xml:space="preserve">Proposal 9 (Samsung): </w:t>
            </w:r>
          </w:p>
          <w:p w14:paraId="3CBF77C5">
            <w:pPr>
              <w:keepNext w:val="0"/>
              <w:keepLines w:val="0"/>
              <w:pageBreakBefore w:val="0"/>
              <w:widowControl w:val="0"/>
              <w:kinsoku w:val="0"/>
              <w:wordWrap/>
              <w:overflowPunct w:val="0"/>
              <w:topLinePunct w:val="0"/>
              <w:autoSpaceDE w:val="0"/>
              <w:autoSpaceDN w:val="0"/>
              <w:bidi w:val="0"/>
              <w:adjustRightInd/>
              <w:snapToGrid/>
              <w:spacing w:after="180" w:line="240" w:lineRule="auto"/>
              <w:ind w:left="1680" w:leftChars="700" w:firstLine="0" w:firstLineChars="0"/>
              <w:textAlignment w:val="auto"/>
              <w:rPr>
                <w:rFonts w:hint="default" w:ascii="Times New Roman" w:hAnsi="Times New Roman" w:cs="Times New Roman"/>
                <w:sz w:val="20"/>
                <w:szCs w:val="20"/>
                <w:lang w:val="en-US" w:eastAsia="zh-CN"/>
              </w:rPr>
            </w:pPr>
            <w:r>
              <w:rPr>
                <w:rFonts w:hint="default" w:ascii="Times New Roman" w:hAnsi="Times New Roman" w:eastAsia="宋体" w:cs="Times New Roman"/>
                <w:kern w:val="0"/>
                <w:sz w:val="20"/>
                <w:szCs w:val="20"/>
                <w:lang w:val="en-US" w:eastAsia="zh-CN" w:bidi="ar-SA"/>
              </w:rPr>
              <w:t>For measurement resource type, RAN4 shall cover semi-static, aperiodic and periodic resource types following the configuration in CSI-ResourceConfig</w:t>
            </w:r>
          </w:p>
        </w:tc>
      </w:tr>
    </w:tbl>
    <w:p w14:paraId="6618AFDB">
      <w:pPr>
        <w:keepNext w:val="0"/>
        <w:keepLines w:val="0"/>
        <w:pageBreakBefore w:val="0"/>
        <w:widowControl w:val="0"/>
        <w:kinsoku w:val="0"/>
        <w:wordWrap/>
        <w:overflowPunct w:val="0"/>
        <w:topLinePunct w:val="0"/>
        <w:autoSpaceDE w:val="0"/>
        <w:autoSpaceDN w:val="0"/>
        <w:bidi w:val="0"/>
        <w:adjustRightInd/>
        <w:snapToGrid/>
        <w:spacing w:after="180" w:line="240" w:lineRule="auto"/>
        <w:textAlignment w:val="auto"/>
        <w:rPr>
          <w:rFonts w:hint="default" w:ascii="Times New Roman" w:hAnsi="Times New Roman" w:eastAsia="宋体" w:cs="Times New Roman"/>
          <w:b/>
          <w:bCs/>
          <w:i/>
          <w:iCs/>
          <w:sz w:val="20"/>
          <w:szCs w:val="20"/>
          <w:lang w:val="en-US" w:eastAsia="zh-CN"/>
        </w:rPr>
      </w:pPr>
    </w:p>
    <w:p w14:paraId="6EBA14E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According to RAN1 agreements, as duplicated as following, the resourceType for L1-CLI-RSRI and L1-SRS-RSRP measurement can be set to periodic, semi-persistent or aperiodic. RAN4 need to define requirements for to cover these resource types.</w:t>
      </w:r>
    </w:p>
    <w:p w14:paraId="2A21183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2: it is proposed that RAN4 define requirements for L1-CLI-RSRI and L1-SRS-RSRP measurement for resource types of periodic, semi-persistent or aperiodic.</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AD2D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1" w:type="dxa"/>
            <w:noWrap w:val="0"/>
            <w:vAlign w:val="top"/>
          </w:tcPr>
          <w:p w14:paraId="1F6597DC">
            <w:pPr>
              <w:overflowPunct w:val="0"/>
              <w:autoSpaceDE w:val="0"/>
              <w:autoSpaceDN w:val="0"/>
              <w:adjustRightInd w:val="0"/>
              <w:spacing w:after="0" w:line="259" w:lineRule="auto"/>
              <w:jc w:val="both"/>
              <w:textAlignment w:val="baseline"/>
              <w:rPr>
                <w:rFonts w:hint="default" w:ascii="Times" w:hAnsi="Times" w:eastAsia="宋体"/>
                <w:b/>
                <w:bCs/>
                <w:sz w:val="20"/>
                <w:szCs w:val="20"/>
                <w:lang w:val="en-US" w:eastAsia="zh-CN"/>
              </w:rPr>
            </w:pPr>
            <w:r>
              <w:rPr>
                <w:rFonts w:ascii="Times" w:hAnsi="Times" w:eastAsia="Batang"/>
                <w:b/>
                <w:bCs/>
                <w:sz w:val="20"/>
                <w:szCs w:val="20"/>
                <w:highlight w:val="green"/>
              </w:rPr>
              <w:t xml:space="preserve">Agreement </w:t>
            </w:r>
            <w:r>
              <w:rPr>
                <w:rFonts w:hint="eastAsia" w:ascii="Times" w:hAnsi="Times" w:eastAsia="宋体"/>
                <w:b/>
                <w:bCs/>
                <w:sz w:val="20"/>
                <w:szCs w:val="20"/>
                <w:highlight w:val="green"/>
                <w:lang w:val="en-US" w:eastAsia="zh-CN"/>
              </w:rPr>
              <w:t>in RAN1#118 meeting</w:t>
            </w:r>
          </w:p>
          <w:p w14:paraId="26594548">
            <w:pPr>
              <w:overflowPunct w:val="0"/>
              <w:autoSpaceDE w:val="0"/>
              <w:autoSpaceDN w:val="0"/>
              <w:adjustRightInd w:val="0"/>
              <w:spacing w:after="0" w:line="259" w:lineRule="auto"/>
              <w:jc w:val="both"/>
              <w:textAlignment w:val="baseline"/>
              <w:rPr>
                <w:rFonts w:ascii="Times" w:hAnsi="Times" w:eastAsia="Malgun Gothic"/>
                <w:bCs/>
                <w:sz w:val="20"/>
                <w:szCs w:val="20"/>
                <w:lang w:eastAsia="ko-KR"/>
              </w:rPr>
            </w:pPr>
            <w:r>
              <w:rPr>
                <w:rFonts w:ascii="Times" w:hAnsi="Times" w:eastAsia="Yu Mincho"/>
                <w:sz w:val="20"/>
                <w:szCs w:val="20"/>
              </w:rPr>
              <w:t xml:space="preserve">For </w:t>
            </w:r>
            <w:r>
              <w:rPr>
                <w:rFonts w:hint="eastAsia" w:ascii="Times" w:hAnsi="Times" w:eastAsia="Batang"/>
                <w:sz w:val="20"/>
                <w:szCs w:val="20"/>
              </w:rPr>
              <w:t>frequency</w:t>
            </w:r>
            <w:r>
              <w:rPr>
                <w:rFonts w:ascii="Times" w:hAnsi="Times" w:eastAsia="Batang"/>
                <w:sz w:val="20"/>
                <w:szCs w:val="20"/>
              </w:rPr>
              <w:t xml:space="preserve"> resource allocation of a </w:t>
            </w:r>
            <w:r>
              <w:rPr>
                <w:rFonts w:ascii="Times" w:hAnsi="Times" w:eastAsia="Malgun Gothic"/>
                <w:bCs/>
                <w:sz w:val="20"/>
                <w:szCs w:val="20"/>
                <w:lang w:eastAsia="ko-KR"/>
              </w:rPr>
              <w:t>CLI-RSSI measurement resource, the following are supported</w:t>
            </w:r>
          </w:p>
          <w:p w14:paraId="1569078A">
            <w:pPr>
              <w:widowControl w:val="0"/>
              <w:numPr>
                <w:ilvl w:val="0"/>
                <w:numId w:val="5"/>
              </w:numPr>
              <w:suppressAutoHyphens/>
              <w:overflowPunct w:val="0"/>
              <w:autoSpaceDE w:val="0"/>
              <w:autoSpaceDN w:val="0"/>
              <w:adjustRightInd w:val="0"/>
              <w:snapToGrid w:val="0"/>
              <w:spacing w:after="0" w:line="259" w:lineRule="auto"/>
              <w:jc w:val="both"/>
              <w:textAlignment w:val="baseline"/>
              <w:rPr>
                <w:rFonts w:ascii="Times" w:hAnsi="Times" w:eastAsia="Malgun Gothic"/>
                <w:bCs/>
                <w:sz w:val="20"/>
                <w:szCs w:val="20"/>
                <w:lang w:eastAsia="ko-KR"/>
              </w:rPr>
            </w:pPr>
            <w:r>
              <w:rPr>
                <w:rFonts w:ascii="Times" w:hAnsi="Times" w:eastAsia="Malgun Gothic"/>
                <w:bCs/>
                <w:sz w:val="20"/>
                <w:szCs w:val="20"/>
                <w:lang w:eastAsia="ko-KR"/>
              </w:rPr>
              <w:t>Measurement resource type#1: One CLI-RSSI measurement resource is configured within a DL subband</w:t>
            </w:r>
          </w:p>
          <w:p w14:paraId="35E1F97F">
            <w:pPr>
              <w:widowControl w:val="0"/>
              <w:numPr>
                <w:ilvl w:val="0"/>
                <w:numId w:val="5"/>
              </w:numPr>
              <w:suppressAutoHyphens/>
              <w:overflowPunct w:val="0"/>
              <w:autoSpaceDE w:val="0"/>
              <w:autoSpaceDN w:val="0"/>
              <w:adjustRightInd w:val="0"/>
              <w:snapToGrid w:val="0"/>
              <w:spacing w:after="0" w:line="259" w:lineRule="auto"/>
              <w:jc w:val="both"/>
              <w:textAlignment w:val="baseline"/>
              <w:rPr>
                <w:rFonts w:ascii="Times" w:hAnsi="Times" w:eastAsia="Malgun Gothic"/>
                <w:bCs/>
                <w:sz w:val="20"/>
                <w:szCs w:val="20"/>
                <w:lang w:eastAsia="ko-KR"/>
              </w:rPr>
            </w:pPr>
            <w:r>
              <w:rPr>
                <w:rFonts w:ascii="Times" w:hAnsi="Times" w:eastAsia="Malgun Gothic"/>
                <w:bCs/>
                <w:sz w:val="20"/>
                <w:szCs w:val="20"/>
                <w:lang w:eastAsia="ko-KR"/>
              </w:rPr>
              <w:t>Measurement resource type#2: One CLI-RSSI measurement resource is configured across two DL subbands</w:t>
            </w:r>
          </w:p>
          <w:p w14:paraId="2685FAE8">
            <w:pPr>
              <w:widowControl w:val="0"/>
              <w:numPr>
                <w:ilvl w:val="0"/>
                <w:numId w:val="5"/>
              </w:numPr>
              <w:suppressAutoHyphens/>
              <w:overflowPunct w:val="0"/>
              <w:autoSpaceDE w:val="0"/>
              <w:autoSpaceDN w:val="0"/>
              <w:adjustRightInd w:val="0"/>
              <w:snapToGrid w:val="0"/>
              <w:spacing w:after="0" w:line="259" w:lineRule="auto"/>
              <w:jc w:val="both"/>
              <w:textAlignment w:val="baseline"/>
              <w:rPr>
                <w:rFonts w:ascii="Times" w:hAnsi="Times" w:eastAsia="Batang"/>
                <w:sz w:val="20"/>
                <w:szCs w:val="20"/>
                <w:lang w:eastAsia="zh-CN"/>
              </w:rPr>
            </w:pPr>
            <w:r>
              <w:rPr>
                <w:rFonts w:ascii="Times" w:hAnsi="Times" w:eastAsia="Batang"/>
                <w:sz w:val="20"/>
                <w:szCs w:val="20"/>
                <w:lang w:eastAsia="zh-CN"/>
              </w:rPr>
              <w:t>FFS: Number of resources that can be configured</w:t>
            </w:r>
          </w:p>
          <w:p w14:paraId="6420ED35">
            <w:pPr>
              <w:widowControl w:val="0"/>
              <w:numPr>
                <w:ilvl w:val="0"/>
                <w:numId w:val="5"/>
              </w:numPr>
              <w:suppressAutoHyphens/>
              <w:overflowPunct w:val="0"/>
              <w:autoSpaceDE w:val="0"/>
              <w:autoSpaceDN w:val="0"/>
              <w:adjustRightInd w:val="0"/>
              <w:snapToGrid w:val="0"/>
              <w:spacing w:after="0" w:line="259" w:lineRule="auto"/>
              <w:jc w:val="both"/>
              <w:textAlignment w:val="baseline"/>
              <w:rPr>
                <w:rFonts w:ascii="Times" w:hAnsi="Times" w:eastAsia="Batang"/>
                <w:sz w:val="20"/>
                <w:szCs w:val="20"/>
                <w:lang w:eastAsia="zh-CN"/>
              </w:rPr>
            </w:pPr>
            <w:r>
              <w:rPr>
                <w:rFonts w:ascii="Times" w:hAnsi="Times" w:eastAsia="Batang"/>
                <w:sz w:val="20"/>
                <w:szCs w:val="20"/>
                <w:lang w:eastAsia="zh-CN"/>
              </w:rPr>
              <w:t>FFS: UE behavior for measurement</w:t>
            </w:r>
          </w:p>
          <w:p w14:paraId="74D08903">
            <w:pPr>
              <w:overflowPunct/>
              <w:autoSpaceDE/>
              <w:autoSpaceDN/>
              <w:adjustRightInd/>
              <w:spacing w:after="0"/>
              <w:textAlignment w:val="auto"/>
              <w:rPr>
                <w:rFonts w:ascii="Times" w:hAnsi="Times" w:eastAsia="宋体"/>
                <w:sz w:val="20"/>
                <w:szCs w:val="20"/>
              </w:rPr>
            </w:pPr>
          </w:p>
          <w:p w14:paraId="295FF254">
            <w:pPr>
              <w:overflowPunct/>
              <w:autoSpaceDE/>
              <w:autoSpaceDN/>
              <w:adjustRightInd/>
              <w:spacing w:after="0"/>
              <w:textAlignment w:val="auto"/>
              <w:rPr>
                <w:rFonts w:ascii="Times" w:hAnsi="Times" w:eastAsia="Malgun Gothic"/>
                <w:bCs/>
                <w:color w:val="000000"/>
                <w:sz w:val="20"/>
                <w:szCs w:val="20"/>
                <w:lang w:eastAsia="ko-KR"/>
              </w:rPr>
            </w:pPr>
            <w:r>
              <w:rPr>
                <w:rFonts w:ascii="Times" w:hAnsi="Times" w:eastAsia="宋体"/>
                <w:sz w:val="20"/>
                <w:szCs w:val="20"/>
              </w:rPr>
              <w:t xml:space="preserve">For </w:t>
            </w:r>
            <w:r>
              <w:rPr>
                <w:rFonts w:ascii="Times" w:hAnsi="Times" w:eastAsia="Batang"/>
                <w:sz w:val="20"/>
                <w:szCs w:val="20"/>
              </w:rPr>
              <w:t>L1 UE</w:t>
            </w:r>
            <w:r>
              <w:rPr>
                <w:rFonts w:hint="eastAsia" w:ascii="Times" w:hAnsi="Times" w:eastAsia="Batang"/>
                <w:sz w:val="20"/>
                <w:szCs w:val="20"/>
              </w:rPr>
              <w:t>-</w:t>
            </w:r>
            <w:r>
              <w:rPr>
                <w:rFonts w:ascii="Times" w:hAnsi="Times" w:eastAsia="Batang"/>
                <w:sz w:val="20"/>
                <w:szCs w:val="20"/>
              </w:rPr>
              <w:t>to</w:t>
            </w:r>
            <w:r>
              <w:rPr>
                <w:rFonts w:hint="eastAsia" w:ascii="Times" w:hAnsi="Times" w:eastAsia="Batang"/>
                <w:sz w:val="20"/>
                <w:szCs w:val="20"/>
              </w:rPr>
              <w:t>-</w:t>
            </w:r>
            <w:r>
              <w:rPr>
                <w:rFonts w:ascii="Times" w:hAnsi="Times" w:eastAsia="Batang"/>
                <w:sz w:val="20"/>
                <w:szCs w:val="20"/>
              </w:rPr>
              <w:t xml:space="preserve">UE </w:t>
            </w:r>
            <w:r>
              <w:rPr>
                <w:rFonts w:ascii="Times" w:hAnsi="Times" w:eastAsia="Malgun Gothic"/>
                <w:bCs/>
                <w:color w:val="000000"/>
                <w:sz w:val="20"/>
                <w:szCs w:val="20"/>
                <w:lang w:eastAsia="ko-KR"/>
              </w:rPr>
              <w:t>CLI measurement and reporting, the following are supported</w:t>
            </w:r>
          </w:p>
          <w:p w14:paraId="3C23BDDB">
            <w:pPr>
              <w:widowControl w:val="0"/>
              <w:numPr>
                <w:ilvl w:val="0"/>
                <w:numId w:val="5"/>
              </w:numPr>
              <w:suppressAutoHyphens/>
              <w:overflowPunct/>
              <w:autoSpaceDE/>
              <w:autoSpaceDN/>
              <w:adjustRightInd/>
              <w:snapToGrid w:val="0"/>
              <w:spacing w:after="0"/>
              <w:jc w:val="both"/>
              <w:textAlignment w:val="auto"/>
              <w:rPr>
                <w:rFonts w:ascii="Times" w:hAnsi="Times" w:eastAsia="Malgun Gothic"/>
                <w:bCs/>
                <w:sz w:val="20"/>
                <w:szCs w:val="20"/>
                <w:lang w:eastAsia="ko-KR"/>
              </w:rPr>
            </w:pPr>
            <w:r>
              <w:rPr>
                <w:rFonts w:ascii="Times" w:hAnsi="Times" w:eastAsia="Malgun Gothic"/>
                <w:bCs/>
                <w:sz w:val="20"/>
                <w:szCs w:val="20"/>
                <w:lang w:eastAsia="ko-KR"/>
              </w:rPr>
              <w:t>Wideband CLI-RSRP reporting</w:t>
            </w:r>
          </w:p>
          <w:p w14:paraId="58AC601A">
            <w:pPr>
              <w:widowControl w:val="0"/>
              <w:numPr>
                <w:ilvl w:val="0"/>
                <w:numId w:val="5"/>
              </w:numPr>
              <w:suppressAutoHyphens/>
              <w:overflowPunct/>
              <w:autoSpaceDE/>
              <w:autoSpaceDN/>
              <w:adjustRightInd/>
              <w:snapToGrid w:val="0"/>
              <w:spacing w:after="0"/>
              <w:jc w:val="both"/>
              <w:textAlignment w:val="auto"/>
              <w:rPr>
                <w:rFonts w:ascii="Times" w:hAnsi="Times" w:eastAsia="Malgun Gothic"/>
                <w:bCs/>
                <w:sz w:val="20"/>
                <w:szCs w:val="20"/>
                <w:lang w:eastAsia="ko-KR"/>
              </w:rPr>
            </w:pPr>
            <w:r>
              <w:rPr>
                <w:rFonts w:ascii="Times" w:hAnsi="Times" w:eastAsia="Malgun Gothic"/>
                <w:bCs/>
                <w:sz w:val="20"/>
                <w:szCs w:val="20"/>
                <w:lang w:eastAsia="ko-KR"/>
              </w:rPr>
              <w:t>Wideband CLI-RSSI reporting</w:t>
            </w:r>
          </w:p>
          <w:p w14:paraId="5216783D">
            <w:pPr>
              <w:widowControl w:val="0"/>
              <w:numPr>
                <w:ilvl w:val="0"/>
                <w:numId w:val="5"/>
              </w:numPr>
              <w:suppressAutoHyphens/>
              <w:overflowPunct/>
              <w:autoSpaceDE/>
              <w:autoSpaceDN/>
              <w:adjustRightInd/>
              <w:snapToGrid w:val="0"/>
              <w:spacing w:after="0"/>
              <w:jc w:val="both"/>
              <w:textAlignment w:val="auto"/>
              <w:rPr>
                <w:rFonts w:ascii="Times" w:hAnsi="Times" w:eastAsia="Batang"/>
                <w:bCs/>
                <w:sz w:val="20"/>
                <w:szCs w:val="20"/>
                <w:lang w:eastAsia="zh-CN"/>
              </w:rPr>
            </w:pPr>
            <w:r>
              <w:rPr>
                <w:rFonts w:ascii="Times" w:hAnsi="Times" w:eastAsia="Batang"/>
                <w:bCs/>
                <w:sz w:val="20"/>
                <w:szCs w:val="20"/>
                <w:lang w:eastAsia="zh-CN"/>
              </w:rPr>
              <w:t xml:space="preserve">FFS: </w:t>
            </w:r>
            <w:r>
              <w:rPr>
                <w:rFonts w:hint="eastAsia" w:ascii="Times" w:hAnsi="Times" w:eastAsia="Batang"/>
                <w:bCs/>
                <w:sz w:val="20"/>
                <w:szCs w:val="20"/>
                <w:lang w:eastAsia="zh-CN"/>
              </w:rPr>
              <w:t>S</w:t>
            </w:r>
            <w:r>
              <w:rPr>
                <w:rFonts w:ascii="Times" w:hAnsi="Times" w:eastAsia="Batang"/>
                <w:bCs/>
                <w:sz w:val="20"/>
                <w:szCs w:val="20"/>
                <w:lang w:eastAsia="zh-CN"/>
              </w:rPr>
              <w:t>ubband CLI-RSSI reporting</w:t>
            </w:r>
          </w:p>
          <w:p w14:paraId="78A03772">
            <w:pPr>
              <w:widowControl w:val="0"/>
              <w:numPr>
                <w:ilvl w:val="0"/>
                <w:numId w:val="0"/>
              </w:numPr>
              <w:suppressAutoHyphens/>
              <w:overflowPunct/>
              <w:autoSpaceDE/>
              <w:autoSpaceDN/>
              <w:adjustRightInd/>
              <w:snapToGrid w:val="0"/>
              <w:spacing w:after="0"/>
              <w:jc w:val="both"/>
              <w:textAlignment w:val="auto"/>
              <w:rPr>
                <w:rFonts w:ascii="Times" w:hAnsi="Times" w:eastAsia="Batang"/>
                <w:bCs/>
                <w:sz w:val="20"/>
                <w:szCs w:val="20"/>
                <w:lang w:eastAsia="zh-CN"/>
              </w:rPr>
            </w:pPr>
          </w:p>
          <w:p w14:paraId="1057928D">
            <w:pPr>
              <w:widowControl w:val="0"/>
              <w:numPr>
                <w:ilvl w:val="0"/>
                <w:numId w:val="0"/>
              </w:numPr>
              <w:suppressAutoHyphens/>
              <w:overflowPunct/>
              <w:autoSpaceDE/>
              <w:autoSpaceDN/>
              <w:adjustRightInd/>
              <w:snapToGrid w:val="0"/>
              <w:spacing w:after="0"/>
              <w:jc w:val="both"/>
              <w:textAlignment w:val="auto"/>
              <w:rPr>
                <w:rFonts w:hint="eastAsia" w:ascii="Times" w:hAnsi="Times" w:eastAsia="宋体"/>
                <w:b/>
                <w:bCs/>
                <w:sz w:val="20"/>
                <w:szCs w:val="20"/>
                <w:highlight w:val="green"/>
                <w:lang w:val="en-US" w:eastAsia="zh-CN"/>
              </w:rPr>
            </w:pPr>
            <w:r>
              <w:rPr>
                <w:rFonts w:ascii="Times" w:hAnsi="Times" w:eastAsia="Batang"/>
                <w:b/>
                <w:bCs/>
                <w:sz w:val="20"/>
                <w:szCs w:val="20"/>
                <w:highlight w:val="green"/>
              </w:rPr>
              <w:t xml:space="preserve">Agreement </w:t>
            </w:r>
            <w:r>
              <w:rPr>
                <w:rFonts w:hint="eastAsia" w:ascii="Times" w:hAnsi="Times" w:eastAsia="宋体"/>
                <w:b/>
                <w:bCs/>
                <w:sz w:val="20"/>
                <w:szCs w:val="20"/>
                <w:highlight w:val="green"/>
                <w:lang w:val="en-US" w:eastAsia="zh-CN"/>
              </w:rPr>
              <w:t>in RAN1#118bis meeting</w:t>
            </w:r>
          </w:p>
          <w:p w14:paraId="096229DB">
            <w:pPr>
              <w:suppressAutoHyphens/>
              <w:rPr>
                <w:rFonts w:hint="default" w:ascii="Times New Roman" w:hAnsi="Times New Roman" w:cs="Times New Roman"/>
                <w:iCs/>
                <w:color w:val="000000"/>
                <w:sz w:val="20"/>
                <w:szCs w:val="20"/>
              </w:rPr>
            </w:pPr>
            <w:r>
              <w:rPr>
                <w:rFonts w:hint="default" w:ascii="Times New Roman" w:hAnsi="Times New Roman" w:cs="Times New Roman"/>
                <w:iCs/>
                <w:color w:val="000000"/>
                <w:sz w:val="20"/>
                <w:szCs w:val="20"/>
              </w:rPr>
              <w:t>For Method#1 (RSSI measurement within DL subband), the frequency resources of CLI-RSSI measurement resource type#2 (</w:t>
            </w:r>
            <w:r>
              <w:rPr>
                <w:rFonts w:hint="default" w:ascii="Times New Roman" w:hAnsi="Times New Roman" w:eastAsia="Malgun Gothic" w:cs="Times New Roman"/>
                <w:bCs/>
                <w:sz w:val="20"/>
                <w:szCs w:val="20"/>
                <w:lang w:eastAsia="ko-KR"/>
              </w:rPr>
              <w:t>One CLI-RSSI measurement resource across two DL subbands</w:t>
            </w:r>
            <w:r>
              <w:rPr>
                <w:rFonts w:hint="default" w:ascii="Times New Roman" w:hAnsi="Times New Roman" w:cs="Times New Roman"/>
                <w:iCs/>
                <w:color w:val="000000"/>
                <w:sz w:val="20"/>
                <w:szCs w:val="20"/>
              </w:rPr>
              <w:t>) is derived by excluding the frequency resources outside DL usable PRBs.</w:t>
            </w:r>
          </w:p>
          <w:p w14:paraId="3866EAA8">
            <w:pPr>
              <w:pStyle w:val="11"/>
              <w:numPr>
                <w:ilvl w:val="0"/>
                <w:numId w:val="5"/>
              </w:numPr>
              <w:overflowPunct w:val="0"/>
              <w:ind w:leftChars="0"/>
              <w:textAlignment w:val="baseline"/>
              <w:rPr>
                <w:rFonts w:hint="default" w:ascii="Times New Roman" w:hAnsi="Times New Roman" w:cs="Times New Roman"/>
                <w:iCs/>
                <w:sz w:val="20"/>
                <w:szCs w:val="20"/>
              </w:rPr>
            </w:pPr>
            <w:r>
              <w:rPr>
                <w:rFonts w:hint="default" w:ascii="Times New Roman" w:hAnsi="Times New Roman" w:cs="Times New Roman"/>
                <w:sz w:val="20"/>
                <w:szCs w:val="20"/>
              </w:rPr>
              <w:t>A single wideband RSSI measurement report is supported</w:t>
            </w:r>
          </w:p>
          <w:p w14:paraId="1FBF463E">
            <w:pPr>
              <w:pStyle w:val="11"/>
              <w:numPr>
                <w:ilvl w:val="1"/>
                <w:numId w:val="5"/>
              </w:numPr>
              <w:overflowPunct w:val="0"/>
              <w:ind w:leftChars="0"/>
              <w:textAlignment w:val="baseline"/>
              <w:rPr>
                <w:rFonts w:hint="default" w:ascii="Times New Roman" w:hAnsi="Times New Roman" w:cs="Times New Roman"/>
                <w:iCs/>
                <w:sz w:val="20"/>
                <w:szCs w:val="20"/>
              </w:rPr>
            </w:pPr>
            <w:r>
              <w:rPr>
                <w:rFonts w:hint="default" w:ascii="Times New Roman" w:hAnsi="Times New Roman" w:cs="Times New Roman"/>
                <w:sz w:val="20"/>
                <w:szCs w:val="20"/>
              </w:rPr>
              <w:t>FFS: two per-DL-subband CLI-RSSI measurements reports with wideband report in each DL-subband.</w:t>
            </w:r>
          </w:p>
          <w:p w14:paraId="07939F2C">
            <w:pPr>
              <w:widowControl w:val="0"/>
              <w:numPr>
                <w:ilvl w:val="0"/>
                <w:numId w:val="0"/>
              </w:numPr>
              <w:suppressAutoHyphens/>
              <w:overflowPunct/>
              <w:autoSpaceDE/>
              <w:autoSpaceDN/>
              <w:adjustRightInd/>
              <w:snapToGrid w:val="0"/>
              <w:spacing w:after="0"/>
              <w:jc w:val="both"/>
              <w:textAlignment w:val="auto"/>
              <w:rPr>
                <w:rFonts w:hint="eastAsia" w:ascii="Times" w:hAnsi="Times" w:eastAsia="宋体"/>
                <w:b/>
                <w:bCs/>
                <w:sz w:val="20"/>
                <w:szCs w:val="20"/>
                <w:highlight w:val="green"/>
                <w:lang w:val="en-US" w:eastAsia="zh-CN"/>
              </w:rPr>
            </w:pPr>
          </w:p>
          <w:p w14:paraId="223E2CFE">
            <w:pPr>
              <w:rPr>
                <w:rFonts w:hint="default" w:ascii="Times New Roman" w:hAnsi="Times New Roman" w:eastAsia="微软雅黑" w:cs="Times New Roman"/>
                <w:iCs/>
                <w:sz w:val="20"/>
                <w:szCs w:val="20"/>
                <w:highlight w:val="none"/>
              </w:rPr>
            </w:pPr>
            <w:r>
              <w:rPr>
                <w:rFonts w:hint="default" w:ascii="Times New Roman" w:hAnsi="Times New Roman" w:eastAsia="微软雅黑" w:cs="Times New Roman"/>
                <w:iCs/>
                <w:sz w:val="20"/>
                <w:szCs w:val="20"/>
                <w:highlight w:val="none"/>
              </w:rPr>
              <w:t xml:space="preserve">Extend </w:t>
            </w:r>
            <w:r>
              <w:rPr>
                <w:rFonts w:hint="default" w:ascii="Times New Roman" w:hAnsi="Times New Roman" w:eastAsia="微软雅黑" w:cs="Times New Roman"/>
                <w:i/>
                <w:iCs/>
                <w:sz w:val="20"/>
                <w:szCs w:val="20"/>
                <w:highlight w:val="none"/>
              </w:rPr>
              <w:t>CSI-ResourceConfig</w:t>
            </w:r>
            <w:r>
              <w:rPr>
                <w:rFonts w:hint="default" w:ascii="Times New Roman" w:hAnsi="Times New Roman" w:eastAsia="微软雅黑" w:cs="Times New Roman"/>
                <w:iCs/>
                <w:sz w:val="20"/>
                <w:szCs w:val="20"/>
                <w:highlight w:val="none"/>
              </w:rPr>
              <w:t xml:space="preserve"> to include two CLI measurement resource set lists for SRS-RSRP and CLI-RSSI measurements </w:t>
            </w:r>
            <w:r>
              <w:rPr>
                <w:rFonts w:hint="default" w:ascii="Times New Roman" w:hAnsi="Times New Roman" w:eastAsia="微软雅黑" w:cs="Times New Roman"/>
                <w:sz w:val="20"/>
                <w:szCs w:val="20"/>
                <w:highlight w:val="none"/>
              </w:rPr>
              <w:t xml:space="preserve">based on Rel-16 </w:t>
            </w:r>
            <w:r>
              <w:rPr>
                <w:rFonts w:hint="default" w:ascii="Times New Roman" w:hAnsi="Times New Roman" w:eastAsia="微软雅黑" w:cs="Times New Roman"/>
                <w:i/>
                <w:sz w:val="20"/>
                <w:szCs w:val="20"/>
                <w:highlight w:val="none"/>
              </w:rPr>
              <w:t>SRS-ResourceConfigCLI</w:t>
            </w:r>
            <w:r>
              <w:rPr>
                <w:rFonts w:hint="default" w:ascii="Times New Roman" w:hAnsi="Times New Roman" w:eastAsia="微软雅黑" w:cs="Times New Roman"/>
                <w:sz w:val="20"/>
                <w:szCs w:val="20"/>
                <w:highlight w:val="none"/>
              </w:rPr>
              <w:t xml:space="preserve"> and </w:t>
            </w:r>
            <w:r>
              <w:rPr>
                <w:rFonts w:hint="default" w:ascii="Times New Roman" w:hAnsi="Times New Roman" w:eastAsia="微软雅黑" w:cs="Times New Roman"/>
                <w:i/>
                <w:sz w:val="20"/>
                <w:szCs w:val="20"/>
                <w:highlight w:val="none"/>
              </w:rPr>
              <w:t>rssi-ResourceConfigCLI</w:t>
            </w:r>
            <w:r>
              <w:rPr>
                <w:rFonts w:hint="default" w:ascii="Times New Roman" w:hAnsi="Times New Roman" w:eastAsia="微软雅黑" w:cs="Times New Roman"/>
                <w:sz w:val="20"/>
                <w:szCs w:val="20"/>
                <w:highlight w:val="none"/>
              </w:rPr>
              <w:t xml:space="preserve"> defined </w:t>
            </w:r>
            <w:r>
              <w:rPr>
                <w:rFonts w:hint="default" w:ascii="Times New Roman" w:hAnsi="Times New Roman" w:eastAsia="微软雅黑" w:cs="Times New Roman"/>
                <w:sz w:val="20"/>
                <w:szCs w:val="20"/>
                <w:highlight w:val="none"/>
                <w:lang w:eastAsia="ko-KR"/>
              </w:rPr>
              <w:t xml:space="preserve">in </w:t>
            </w:r>
            <w:r>
              <w:rPr>
                <w:rFonts w:hint="default" w:ascii="Times New Roman" w:hAnsi="Times New Roman" w:eastAsia="微软雅黑" w:cs="Times New Roman"/>
                <w:i/>
                <w:iCs/>
                <w:sz w:val="20"/>
                <w:szCs w:val="20"/>
                <w:highlight w:val="none"/>
              </w:rPr>
              <w:t>MeasObjectCLI</w:t>
            </w:r>
            <w:r>
              <w:rPr>
                <w:rFonts w:hint="default" w:ascii="Times New Roman" w:hAnsi="Times New Roman" w:eastAsia="微软雅黑" w:cs="Times New Roman"/>
                <w:iCs/>
                <w:sz w:val="20"/>
                <w:szCs w:val="20"/>
                <w:highlight w:val="none"/>
              </w:rPr>
              <w:t xml:space="preserve"> for </w:t>
            </w:r>
            <w:r>
              <w:rPr>
                <w:rFonts w:hint="default" w:ascii="Times New Roman" w:hAnsi="Times New Roman" w:eastAsia="微软雅黑" w:cs="Times New Roman"/>
                <w:sz w:val="20"/>
                <w:szCs w:val="20"/>
                <w:highlight w:val="none"/>
              </w:rPr>
              <w:t xml:space="preserve">L3 based SRS-RSRP and </w:t>
            </w:r>
            <w:r>
              <w:rPr>
                <w:rFonts w:hint="default" w:ascii="Times New Roman" w:hAnsi="Times New Roman" w:eastAsia="微软雅黑" w:cs="Times New Roman"/>
                <w:sz w:val="20"/>
                <w:szCs w:val="20"/>
                <w:highlight w:val="none"/>
                <w:lang w:eastAsia="ko-KR"/>
              </w:rPr>
              <w:t>CLI-RSSI measurement</w:t>
            </w:r>
            <w:r>
              <w:rPr>
                <w:rFonts w:hint="default" w:ascii="Times New Roman" w:hAnsi="Times New Roman" w:eastAsia="微软雅黑" w:cs="Times New Roman"/>
                <w:sz w:val="20"/>
                <w:szCs w:val="20"/>
                <w:highlight w:val="none"/>
              </w:rPr>
              <w:t>.</w:t>
            </w:r>
          </w:p>
          <w:p w14:paraId="5BBD01E0">
            <w:pPr>
              <w:pStyle w:val="11"/>
              <w:numPr>
                <w:ilvl w:val="0"/>
                <w:numId w:val="6"/>
              </w:numPr>
              <w:rPr>
                <w:rFonts w:hint="default" w:ascii="Times New Roman" w:hAnsi="Times New Roman" w:eastAsia="微软雅黑" w:cs="Times New Roman"/>
                <w:b/>
                <w:bCs/>
                <w:sz w:val="20"/>
                <w:szCs w:val="20"/>
                <w:highlight w:val="none"/>
                <w:lang w:val="en-US" w:eastAsia="zh-CN"/>
              </w:rPr>
            </w:pPr>
            <w:r>
              <w:rPr>
                <w:rFonts w:hint="default" w:ascii="Times New Roman" w:hAnsi="Times New Roman" w:eastAsia="微软雅黑" w:cs="Times New Roman"/>
                <w:sz w:val="20"/>
                <w:szCs w:val="20"/>
                <w:highlight w:val="none"/>
              </w:rPr>
              <w:t xml:space="preserve">The </w:t>
            </w:r>
            <w:r>
              <w:rPr>
                <w:rFonts w:hint="default" w:ascii="Times New Roman" w:hAnsi="Times New Roman" w:eastAsia="微软雅黑" w:cs="Times New Roman"/>
                <w:i/>
                <w:sz w:val="20"/>
                <w:szCs w:val="20"/>
                <w:highlight w:val="none"/>
              </w:rPr>
              <w:t>resourceType</w:t>
            </w:r>
            <w:r>
              <w:rPr>
                <w:rFonts w:hint="default" w:ascii="Times New Roman" w:hAnsi="Times New Roman" w:eastAsia="微软雅黑" w:cs="Times New Roman"/>
                <w:sz w:val="20"/>
                <w:szCs w:val="20"/>
                <w:highlight w:val="none"/>
              </w:rPr>
              <w:t xml:space="preserve"> for the two new CLI measurement resource set lists can be set to periodic, semi-persistent or aperiodic</w:t>
            </w:r>
          </w:p>
          <w:p w14:paraId="22445234">
            <w:pPr>
              <w:pStyle w:val="11"/>
              <w:numPr>
                <w:ilvl w:val="0"/>
                <w:numId w:val="6"/>
              </w:numPr>
              <w:rPr>
                <w:rFonts w:hint="default" w:ascii="Times New Roman" w:hAnsi="Times New Roman" w:eastAsia="微软雅黑" w:cs="Times New Roman"/>
                <w:b/>
                <w:bCs/>
                <w:sz w:val="20"/>
                <w:szCs w:val="20"/>
                <w:highlight w:val="none"/>
                <w:lang w:val="en-US" w:eastAsia="zh-CN"/>
              </w:rPr>
            </w:pPr>
            <w:r>
              <w:rPr>
                <w:rFonts w:hint="default" w:ascii="Times New Roman" w:hAnsi="Times New Roman" w:eastAsia="微软雅黑" w:cs="Times New Roman"/>
                <w:sz w:val="20"/>
                <w:szCs w:val="20"/>
                <w:highlight w:val="none"/>
              </w:rPr>
              <w:t>Note: No new usage needs to be defined for SRS resource se</w:t>
            </w:r>
            <w:r>
              <w:rPr>
                <w:rFonts w:hint="default" w:ascii="Times New Roman" w:hAnsi="Times New Roman" w:eastAsia="微软雅黑" w:cs="Times New Roman"/>
                <w:sz w:val="20"/>
                <w:szCs w:val="20"/>
                <w:highlight w:val="none"/>
                <w:lang w:val="en-US" w:eastAsia="zh-CN"/>
              </w:rPr>
              <w:t>ts</w:t>
            </w:r>
          </w:p>
          <w:p w14:paraId="5EF939C6">
            <w:pPr>
              <w:pStyle w:val="11"/>
              <w:numPr>
                <w:ilvl w:val="0"/>
                <w:numId w:val="0"/>
              </w:numPr>
              <w:rPr>
                <w:rFonts w:hint="eastAsia"/>
                <w:lang w:val="en-US" w:eastAsia="zh-CN"/>
              </w:rPr>
            </w:pPr>
          </w:p>
          <w:p w14:paraId="093653AC">
            <w:pPr>
              <w:rPr>
                <w:rFonts w:hint="eastAsia" w:ascii="Times" w:hAnsi="Times"/>
                <w:b/>
                <w:bCs/>
                <w:sz w:val="20"/>
                <w:szCs w:val="20"/>
                <w:highlight w:val="green"/>
                <w:lang w:val="en-US" w:eastAsia="zh-CN"/>
              </w:rPr>
            </w:pPr>
            <w:r>
              <w:rPr>
                <w:rFonts w:hint="default" w:ascii="Times New Roman" w:hAnsi="Times New Roman" w:cs="Times New Roman"/>
                <w:b/>
                <w:bCs/>
                <w:iCs/>
                <w:color w:val="000000" w:themeColor="text1"/>
                <w:sz w:val="20"/>
                <w:szCs w:val="20"/>
                <w14:textFill>
                  <w14:solidFill>
                    <w14:schemeClr w14:val="tx1"/>
                  </w14:solidFill>
                </w14:textFill>
              </w:rPr>
              <w:t>Concl</w:t>
            </w:r>
            <w:r>
              <w:rPr>
                <w:rFonts w:hint="default" w:ascii="Times New Roman" w:hAnsi="Times New Roman" w:cs="Times New Roman"/>
                <w:b/>
                <w:bCs/>
                <w:iCs/>
                <w:color w:val="000000" w:themeColor="text1"/>
                <w:sz w:val="20"/>
                <w:szCs w:val="20"/>
                <w:highlight w:val="none"/>
                <w14:textFill>
                  <w14:solidFill>
                    <w14:schemeClr w14:val="tx1"/>
                  </w14:solidFill>
                </w14:textFill>
              </w:rPr>
              <w:t>usion</w:t>
            </w:r>
            <w:r>
              <w:rPr>
                <w:rFonts w:ascii="Times" w:hAnsi="Times" w:eastAsia="Batang"/>
                <w:b/>
                <w:bCs/>
                <w:sz w:val="20"/>
                <w:szCs w:val="20"/>
                <w:highlight w:val="none"/>
              </w:rPr>
              <w:t xml:space="preserve"> </w:t>
            </w:r>
            <w:r>
              <w:rPr>
                <w:rFonts w:hint="eastAsia" w:ascii="Times" w:hAnsi="Times" w:eastAsia="宋体"/>
                <w:b/>
                <w:bCs/>
                <w:sz w:val="20"/>
                <w:szCs w:val="20"/>
                <w:highlight w:val="none"/>
                <w:lang w:val="en-US" w:eastAsia="zh-CN"/>
              </w:rPr>
              <w:t>in RAN1#11</w:t>
            </w:r>
            <w:r>
              <w:rPr>
                <w:rFonts w:hint="eastAsia" w:ascii="Times" w:hAnsi="Times"/>
                <w:b/>
                <w:bCs/>
                <w:sz w:val="20"/>
                <w:szCs w:val="20"/>
                <w:highlight w:val="none"/>
                <w:lang w:val="en-US" w:eastAsia="zh-CN"/>
              </w:rPr>
              <w:t>9</w:t>
            </w:r>
            <w:r>
              <w:rPr>
                <w:rFonts w:hint="eastAsia" w:ascii="Times" w:hAnsi="Times" w:eastAsia="宋体"/>
                <w:b/>
                <w:bCs/>
                <w:sz w:val="20"/>
                <w:szCs w:val="20"/>
                <w:highlight w:val="none"/>
                <w:lang w:val="en-US" w:eastAsia="zh-CN"/>
              </w:rPr>
              <w:t xml:space="preserve"> meetin</w:t>
            </w:r>
            <w:r>
              <w:rPr>
                <w:rFonts w:hint="eastAsia" w:ascii="Times" w:hAnsi="Times"/>
                <w:b/>
                <w:bCs/>
                <w:sz w:val="20"/>
                <w:szCs w:val="20"/>
                <w:highlight w:val="none"/>
                <w:lang w:val="en-US" w:eastAsia="zh-CN"/>
              </w:rPr>
              <w:t>g</w:t>
            </w:r>
          </w:p>
          <w:p w14:paraId="13622DAD">
            <w:pPr>
              <w:rPr>
                <w:iCs/>
                <w:color w:val="000000" w:themeColor="text1"/>
                <w14:textFill>
                  <w14:solidFill>
                    <w14:schemeClr w14:val="tx1"/>
                  </w14:solidFill>
                </w14:textFill>
              </w:rPr>
            </w:pPr>
          </w:p>
          <w:p w14:paraId="4CAE588C">
            <w:pPr>
              <w:rPr>
                <w:rFonts w:hint="default" w:ascii="Times New Roman" w:hAnsi="Times New Roman" w:cs="Times New Roman"/>
                <w:iCs/>
                <w:color w:val="000000" w:themeColor="text1"/>
                <w:sz w:val="20"/>
                <w:szCs w:val="20"/>
                <w14:textFill>
                  <w14:solidFill>
                    <w14:schemeClr w14:val="tx1"/>
                  </w14:solidFill>
                </w14:textFill>
              </w:rPr>
            </w:pPr>
            <w:r>
              <w:rPr>
                <w:rFonts w:hint="default" w:ascii="Times New Roman" w:hAnsi="Times New Roman" w:cs="Times New Roman"/>
                <w:iCs/>
                <w:color w:val="000000" w:themeColor="text1"/>
                <w:sz w:val="20"/>
                <w:szCs w:val="20"/>
                <w14:textFill>
                  <w14:solidFill>
                    <w14:schemeClr w14:val="tx1"/>
                  </w14:solidFill>
                </w14:textFill>
              </w:rPr>
              <w:t>There is no RAN1 consensus on the following:</w:t>
            </w:r>
          </w:p>
          <w:p w14:paraId="4C660BE7">
            <w:pPr>
              <w:pStyle w:val="11"/>
              <w:numPr>
                <w:ilvl w:val="0"/>
                <w:numId w:val="7"/>
              </w:numPr>
              <w:ind w:leftChars="0"/>
              <w:rPr>
                <w:rFonts w:hint="default" w:ascii="Times New Roman" w:hAnsi="Times New Roman" w:cs="Times New Roman"/>
                <w:iCs/>
                <w:color w:val="000000" w:themeColor="text1"/>
                <w:sz w:val="20"/>
                <w:szCs w:val="20"/>
                <w14:textFill>
                  <w14:solidFill>
                    <w14:schemeClr w14:val="tx1"/>
                  </w14:solidFill>
                </w14:textFill>
              </w:rPr>
            </w:pPr>
            <w:r>
              <w:rPr>
                <w:rFonts w:hint="default" w:ascii="Times New Roman" w:hAnsi="Times New Roman" w:cs="Times New Roman"/>
                <w:iCs/>
                <w:color w:val="000000" w:themeColor="text1"/>
                <w:sz w:val="20"/>
                <w:szCs w:val="20"/>
                <w14:textFill>
                  <w14:solidFill>
                    <w14:schemeClr w14:val="tx1"/>
                  </w14:solidFill>
                </w14:textFill>
              </w:rPr>
              <w:t>Subband CLI-RSSI reporting for L1 CLI-RSSI measurement in Rel-19.</w:t>
            </w:r>
          </w:p>
          <w:p w14:paraId="04585193">
            <w:pPr>
              <w:rPr>
                <w:rFonts w:hint="default" w:ascii="Times New Roman" w:hAnsi="Times New Roman" w:cs="Times New Roman"/>
                <w:iCs/>
                <w:color w:val="000000" w:themeColor="text1"/>
                <w:sz w:val="20"/>
                <w:szCs w:val="20"/>
                <w14:textFill>
                  <w14:solidFill>
                    <w14:schemeClr w14:val="tx1"/>
                  </w14:solidFill>
                </w14:textFill>
              </w:rPr>
            </w:pPr>
          </w:p>
          <w:p w14:paraId="60FE7827">
            <w:pPr>
              <w:rPr>
                <w:rFonts w:hint="default" w:ascii="Times New Roman" w:hAnsi="Times New Roman" w:cs="Times New Roman"/>
                <w:iCs/>
                <w:color w:val="000000" w:themeColor="text1"/>
                <w:sz w:val="20"/>
                <w:szCs w:val="20"/>
                <w14:textFill>
                  <w14:solidFill>
                    <w14:schemeClr w14:val="tx1"/>
                  </w14:solidFill>
                </w14:textFill>
              </w:rPr>
            </w:pPr>
            <w:r>
              <w:rPr>
                <w:rFonts w:hint="default" w:ascii="Times New Roman" w:hAnsi="Times New Roman" w:cs="Times New Roman"/>
                <w:iCs/>
                <w:color w:val="000000" w:themeColor="text1"/>
                <w:sz w:val="20"/>
                <w:szCs w:val="20"/>
                <w14:textFill>
                  <w14:solidFill>
                    <w14:schemeClr w14:val="tx1"/>
                  </w14:solidFill>
                </w14:textFill>
              </w:rPr>
              <w:t>For Method#1 (RSSI measurement within DL subband) with the frequency resources of CLI-RSSI measurement resource type#2 (One CLI-RSSI measurement resource across two DL subbands), two per-DL-subband CLI-RSSI measurements reports with wideband report in each DL-subband is not supported.</w:t>
            </w:r>
          </w:p>
          <w:p w14:paraId="242382BF">
            <w:pPr>
              <w:pStyle w:val="11"/>
              <w:numPr>
                <w:ilvl w:val="0"/>
                <w:numId w:val="0"/>
              </w:numPr>
              <w:rPr>
                <w:rFonts w:hint="eastAsia"/>
                <w:lang w:val="en-US" w:eastAsia="zh-CN"/>
              </w:rPr>
            </w:pPr>
          </w:p>
        </w:tc>
      </w:tr>
    </w:tbl>
    <w:p w14:paraId="05328CA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2FF5385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As agreed in RAN1, there are two measurement resource type: CLI-RSSI measurement resource is configured within a DL subband or the CLI-RSSI measurement resource is configured across two DL subbands. As for reporting, RAN1 agreed that wideband reporting is supported, and no consensus on sub-band CLI-RSSI reporting. From RAN4 requirements point of view, we can firstly focus on wideband. Whether and how to consider sub-band reporting can be further discussed pending on RAN1 progress.</w:t>
      </w:r>
    </w:p>
    <w:p w14:paraId="2A2F434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b/>
          <w:bCs/>
          <w:i/>
          <w:iCs/>
          <w:sz w:val="20"/>
          <w:szCs w:val="20"/>
          <w:lang w:val="en-US" w:eastAsia="zh-CN"/>
        </w:rPr>
        <w:t>Proposal 3: it is proposed that RAN4 firstly define requirements for wideband reporting.</w:t>
      </w:r>
    </w:p>
    <w:p w14:paraId="4A77D99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lang w:val="en-US" w:eastAsia="zh-CN"/>
        </w:rPr>
      </w:pPr>
      <w:r>
        <w:rPr>
          <w:rFonts w:hint="eastAsia" w:ascii="Times New Roman" w:hAnsi="Times New Roman"/>
          <w:sz w:val="20"/>
          <w:szCs w:val="20"/>
          <w:lang w:val="en-US" w:eastAsia="zh-CN"/>
        </w:rPr>
        <w:t xml:space="preserve">For SRS SNR, according to the agreed simulation assumption [5], 1, 2, 3 dB are simulated. According to the simulation results summary [6], it can be seen that </w:t>
      </w:r>
      <w:r>
        <w:rPr>
          <w:rFonts w:hint="eastAsia" w:ascii="Times New Roman" w:hAnsi="Times New Roman" w:cs="Times New Roman"/>
          <w:sz w:val="20"/>
          <w:szCs w:val="20"/>
          <w:lang w:val="en-US" w:eastAsia="zh-CN"/>
        </w:rPr>
        <w:t>the performance difference among different SRS SNR is minimum, which is within 0.5dB. With higher side condition, the applied scenario is limited. To guarantee the application of this feature, it is proposed that the side condition is 1dB.</w:t>
      </w:r>
    </w:p>
    <w:p w14:paraId="70D3190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default" w:ascii="Times New Roman" w:hAnsi="Times New Roman" w:cs="Times New Roman"/>
          <w:b/>
          <w:bCs/>
          <w:i/>
          <w:iCs/>
          <w:sz w:val="20"/>
          <w:szCs w:val="20"/>
          <w:lang w:val="en-US" w:eastAsia="zh-CN"/>
        </w:rPr>
        <w:t xml:space="preserve">Proposal 4: for L1 CLI measurement, it is proposed that the side condition </w:t>
      </w:r>
      <w:r>
        <w:rPr>
          <w:rFonts w:hint="default" w:ascii="Times New Roman" w:hAnsi="Times New Roman" w:cs="Times New Roman"/>
          <w:b/>
          <w:bCs/>
          <w:i/>
          <w:iCs/>
          <w:sz w:val="20"/>
          <w:szCs w:val="20"/>
        </w:rPr>
        <w:t>(SRS Es/Iot)</w:t>
      </w:r>
      <w:r>
        <w:rPr>
          <w:rFonts w:hint="default" w:ascii="Times New Roman" w:hAnsi="Times New Roman" w:cs="Times New Roman"/>
          <w:b/>
          <w:bCs/>
          <w:i/>
          <w:iCs/>
          <w:sz w:val="20"/>
          <w:szCs w:val="20"/>
          <w:lang w:val="en-US" w:eastAsia="zh-CN"/>
        </w:rPr>
        <w:t xml:space="preserve"> is 1dB.</w:t>
      </w:r>
    </w:p>
    <w:p w14:paraId="0B78449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RAN4 #112bis meeting, RAN4 sent LS to RAN1 to ask RAN1 to provide clarification on the target scenarios for UE-to-UE L1 CLI measurement [3]. The RAN1 reply LS was sent to RAN4 in last meeting [4], the details are duplicated as following.</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C15A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01824E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微软雅黑" w:cs="Times New Roman"/>
                <w:sz w:val="20"/>
                <w:szCs w:val="20"/>
                <w:lang w:val="en-US" w:eastAsia="zh-CN"/>
              </w:rPr>
            </w:pPr>
            <w:r>
              <w:rPr>
                <w:rFonts w:hint="default" w:ascii="Times New Roman" w:hAnsi="Times New Roman" w:eastAsia="微软雅黑" w:cs="Times New Roman"/>
                <w:sz w:val="20"/>
                <w:szCs w:val="20"/>
                <w:vertAlign w:val="baseline"/>
                <w:lang w:val="en-US" w:eastAsia="zh-CN"/>
              </w:rPr>
              <w:t xml:space="preserve">RAN1 reply LS on </w:t>
            </w:r>
            <w:r>
              <w:rPr>
                <w:rFonts w:hint="default" w:ascii="Times New Roman" w:hAnsi="Times New Roman" w:eastAsia="微软雅黑" w:cs="Times New Roman"/>
                <w:sz w:val="20"/>
                <w:szCs w:val="20"/>
                <w:lang w:val="en-US" w:eastAsia="zh-CN"/>
              </w:rPr>
              <w:t>target scenarios for UE-to-UE L1 CLI measurement</w:t>
            </w:r>
            <w:r>
              <w:rPr>
                <w:rFonts w:hint="eastAsia" w:ascii="Times New Roman" w:hAnsi="Times New Roman" w:eastAsia="微软雅黑" w:cs="Times New Roman"/>
                <w:sz w:val="20"/>
                <w:szCs w:val="20"/>
                <w:lang w:val="en-US" w:eastAsia="zh-CN"/>
              </w:rPr>
              <w:t xml:space="preserve"> (R1-2410890)</w:t>
            </w:r>
          </w:p>
          <w:p w14:paraId="6C7722FC">
            <w:pPr>
              <w:pStyle w:val="2"/>
              <w:numPr>
                <w:ilvl w:val="0"/>
                <w:numId w:val="0"/>
              </w:numPr>
              <w:ind w:leftChars="0"/>
              <w:rPr>
                <w:rFonts w:hint="default" w:ascii="Times New Roman" w:hAnsi="Times New Roman" w:eastAsia="微软雅黑" w:cs="Times New Roman"/>
                <w:sz w:val="20"/>
                <w:szCs w:val="20"/>
              </w:rPr>
            </w:pPr>
            <w:r>
              <w:rPr>
                <w:rFonts w:hint="default" w:ascii="Times New Roman" w:hAnsi="Times New Roman" w:eastAsia="微软雅黑" w:cs="Times New Roman"/>
                <w:sz w:val="20"/>
                <w:szCs w:val="20"/>
              </w:rPr>
              <w:t>1</w:t>
            </w:r>
            <w:r>
              <w:rPr>
                <w:rFonts w:hint="default" w:ascii="Times New Roman" w:hAnsi="Times New Roman" w:eastAsia="微软雅黑" w:cs="Times New Roman"/>
                <w:sz w:val="20"/>
                <w:szCs w:val="20"/>
              </w:rPr>
              <w:tab/>
            </w:r>
            <w:r>
              <w:rPr>
                <w:rFonts w:hint="default" w:ascii="Times New Roman" w:hAnsi="Times New Roman" w:eastAsia="微软雅黑" w:cs="Times New Roman"/>
                <w:sz w:val="20"/>
                <w:szCs w:val="20"/>
              </w:rPr>
              <w:t>Overall description</w:t>
            </w:r>
          </w:p>
          <w:p w14:paraId="49B04725">
            <w:pPr>
              <w:spacing w:after="120"/>
              <w:rPr>
                <w:rFonts w:hint="default" w:ascii="Times New Roman" w:hAnsi="Times New Roman" w:eastAsia="微软雅黑" w:cs="Times New Roman"/>
                <w:sz w:val="20"/>
                <w:szCs w:val="20"/>
              </w:rPr>
            </w:pPr>
            <w:r>
              <w:rPr>
                <w:rFonts w:hint="default" w:ascii="Times New Roman" w:hAnsi="Times New Roman" w:eastAsia="微软雅黑" w:cs="Times New Roman"/>
                <w:sz w:val="20"/>
                <w:szCs w:val="20"/>
              </w:rPr>
              <w:t xml:space="preserve">When discussing L1 UE-to-UE CLI measurement reporting, RAN1 has not made a distinction between the two application scenarios mentioned in the RAN4 LS (intra-cell vs. inter-cell UE-to-UE L1 CLI measurement). </w:t>
            </w:r>
            <w:r>
              <w:rPr>
                <w:rFonts w:hint="default" w:ascii="Times New Roman" w:hAnsi="Times New Roman" w:eastAsia="微软雅黑" w:cs="Times New Roman"/>
                <w:sz w:val="20"/>
                <w:szCs w:val="20"/>
                <w:lang w:eastAsia="ko-KR"/>
              </w:rPr>
              <w:t>L1 UE-to-UE CLI measurement and reporting specified by RAN1 can be applied for both application scenarios.</w:t>
            </w:r>
          </w:p>
          <w:p w14:paraId="0AA63DC5">
            <w:pPr>
              <w:spacing w:after="120"/>
              <w:rPr>
                <w:rFonts w:hint="default" w:ascii="Times New Roman" w:hAnsi="Times New Roman" w:eastAsia="微软雅黑" w:cs="Times New Roman"/>
                <w:iCs/>
                <w:sz w:val="20"/>
                <w:szCs w:val="20"/>
              </w:rPr>
            </w:pPr>
            <w:r>
              <w:rPr>
                <w:rFonts w:hint="default" w:ascii="Times New Roman" w:hAnsi="Times New Roman" w:eastAsia="微软雅黑" w:cs="Times New Roman"/>
                <w:sz w:val="20"/>
                <w:szCs w:val="20"/>
                <w:lang w:eastAsia="ko-KR"/>
              </w:rPr>
              <w:t xml:space="preserve">For the case of intra-cell L1 SRS-RSRP measurement and reporting, </w:t>
            </w:r>
            <w:r>
              <w:rPr>
                <w:rFonts w:hint="default" w:ascii="Times New Roman" w:hAnsi="Times New Roman" w:eastAsia="微软雅黑" w:cs="Times New Roman"/>
                <w:iCs/>
                <w:sz w:val="20"/>
                <w:szCs w:val="20"/>
              </w:rPr>
              <w:t>a victim UE may be configured with a set of SRS-RSRP measurement resources that overlap with the resources used by the aggressor UE(s) to transmit SRS since the gNB has knowledge the aggressor UE’s SRS configurations.</w:t>
            </w:r>
          </w:p>
          <w:p w14:paraId="269C748D">
            <w:pPr>
              <w:spacing w:after="120"/>
              <w:rPr>
                <w:rFonts w:hint="default" w:ascii="Times New Roman" w:hAnsi="Times New Roman" w:eastAsia="微软雅黑" w:cs="Times New Roman"/>
                <w:sz w:val="20"/>
                <w:szCs w:val="20"/>
              </w:rPr>
            </w:pPr>
            <w:r>
              <w:rPr>
                <w:rFonts w:hint="default" w:ascii="Times New Roman" w:hAnsi="Times New Roman" w:eastAsia="微软雅黑" w:cs="Times New Roman"/>
                <w:iCs/>
                <w:sz w:val="20"/>
                <w:szCs w:val="20"/>
              </w:rPr>
              <w:t>However, for inter-cell L1 SRS-RSRP measurement, SRS resource set configurations may need to be exchanged among gNBs. But specification impact of this in Xn/F1 has been excluded according the following note from the WID</w:t>
            </w:r>
          </w:p>
          <w:p w14:paraId="5B3011B9">
            <w:pPr>
              <w:widowControl w:val="0"/>
              <w:numPr>
                <w:ilvl w:val="1"/>
                <w:numId w:val="8"/>
              </w:numPr>
              <w:tabs>
                <w:tab w:val="left" w:pos="881"/>
              </w:tabs>
              <w:suppressAutoHyphens/>
              <w:overflowPunct/>
              <w:autoSpaceDE/>
              <w:autoSpaceDN/>
              <w:adjustRightInd/>
              <w:snapToGrid w:val="0"/>
              <w:spacing w:after="120"/>
              <w:ind w:left="879" w:right="-96" w:hanging="425"/>
              <w:textAlignment w:val="auto"/>
              <w:rPr>
                <w:rFonts w:hint="default" w:ascii="Times New Roman" w:hAnsi="Times New Roman" w:eastAsia="微软雅黑" w:cs="Times New Roman"/>
                <w:sz w:val="20"/>
                <w:szCs w:val="20"/>
                <w:lang w:eastAsia="ko-KR"/>
              </w:rPr>
            </w:pPr>
            <w:r>
              <w:rPr>
                <w:rFonts w:hint="default" w:ascii="Times New Roman" w:hAnsi="Times New Roman" w:eastAsia="微软雅黑" w:cs="Times New Roman"/>
                <w:sz w:val="20"/>
                <w:szCs w:val="20"/>
                <w:lang w:eastAsia="ko-KR"/>
              </w:rPr>
              <w:t>The measurement resources for SRS-RSRP are based on the existing legacy RS patterns. No specification impact for SRS configuration information exchange between gNBs</w:t>
            </w:r>
          </w:p>
          <w:p w14:paraId="5E24D181">
            <w:pPr>
              <w:spacing w:after="120"/>
              <w:rPr>
                <w:rFonts w:hint="default" w:ascii="Times New Roman" w:hAnsi="Times New Roman" w:eastAsia="微软雅黑" w:cs="Times New Roman"/>
                <w:sz w:val="20"/>
                <w:szCs w:val="20"/>
              </w:rPr>
            </w:pPr>
            <w:r>
              <w:rPr>
                <w:rFonts w:hint="default" w:ascii="Times New Roman" w:hAnsi="Times New Roman" w:eastAsia="微软雅黑" w:cs="Times New Roman"/>
                <w:sz w:val="20"/>
                <w:szCs w:val="20"/>
              </w:rPr>
              <w:t>From RAN1 perspective, intra-cell UE-to-UE L1 CLI measurement scenario can be prioritized for the requirements of L1 SRS-RSRP measurement.</w:t>
            </w:r>
          </w:p>
          <w:p w14:paraId="7B5EF96D">
            <w:pPr>
              <w:pStyle w:val="2"/>
              <w:numPr>
                <w:ilvl w:val="0"/>
                <w:numId w:val="0"/>
              </w:numPr>
              <w:ind w:leftChars="0"/>
              <w:rPr>
                <w:rFonts w:hint="default" w:ascii="Times New Roman" w:hAnsi="Times New Roman" w:eastAsia="微软雅黑" w:cs="Times New Roman"/>
                <w:sz w:val="20"/>
                <w:szCs w:val="20"/>
              </w:rPr>
            </w:pPr>
            <w:r>
              <w:rPr>
                <w:rFonts w:hint="default" w:ascii="Times New Roman" w:hAnsi="Times New Roman" w:eastAsia="微软雅黑" w:cs="Times New Roman"/>
                <w:sz w:val="20"/>
                <w:szCs w:val="20"/>
                <w:lang w:val="en-US" w:eastAsia="zh-CN"/>
              </w:rPr>
              <w:t xml:space="preserve">2 </w:t>
            </w:r>
            <w:r>
              <w:rPr>
                <w:rFonts w:hint="default" w:ascii="Times New Roman" w:hAnsi="Times New Roman" w:eastAsia="微软雅黑" w:cs="Times New Roman"/>
                <w:sz w:val="20"/>
                <w:szCs w:val="20"/>
              </w:rPr>
              <w:t>Actions</w:t>
            </w:r>
          </w:p>
          <w:p w14:paraId="0593D6CB">
            <w:pPr>
              <w:spacing w:after="120"/>
              <w:ind w:left="1985" w:hanging="1985"/>
              <w:rPr>
                <w:rFonts w:hint="default" w:ascii="Times New Roman" w:hAnsi="Times New Roman" w:eastAsia="微软雅黑" w:cs="Times New Roman"/>
                <w:b/>
                <w:sz w:val="20"/>
                <w:szCs w:val="20"/>
              </w:rPr>
            </w:pPr>
            <w:r>
              <w:rPr>
                <w:rFonts w:hint="default" w:ascii="Times New Roman" w:hAnsi="Times New Roman" w:eastAsia="微软雅黑" w:cs="Times New Roman"/>
                <w:b/>
                <w:sz w:val="20"/>
                <w:szCs w:val="20"/>
              </w:rPr>
              <w:t>To RAN4</w:t>
            </w:r>
          </w:p>
          <w:p w14:paraId="0F902F36">
            <w:pPr>
              <w:spacing w:after="120"/>
              <w:ind w:left="993" w:hanging="993"/>
              <w:rPr>
                <w:rFonts w:hint="default" w:ascii="Times New Roman" w:hAnsi="Times New Roman" w:eastAsia="微软雅黑" w:cs="Times New Roman"/>
                <w:i/>
                <w:iCs/>
                <w:color w:val="0070C0"/>
                <w:sz w:val="20"/>
                <w:szCs w:val="20"/>
              </w:rPr>
            </w:pPr>
            <w:r>
              <w:rPr>
                <w:rFonts w:hint="default" w:ascii="Times New Roman" w:hAnsi="Times New Roman" w:eastAsia="微软雅黑" w:cs="Times New Roman"/>
                <w:b/>
                <w:sz w:val="20"/>
                <w:szCs w:val="20"/>
              </w:rPr>
              <w:t xml:space="preserve">ACTION: </w:t>
            </w:r>
            <w:r>
              <w:rPr>
                <w:rFonts w:hint="default" w:ascii="Times New Roman" w:hAnsi="Times New Roman" w:eastAsia="微软雅黑" w:cs="Times New Roman"/>
                <w:sz w:val="20"/>
                <w:szCs w:val="20"/>
              </w:rPr>
              <w:t xml:space="preserve">RAN1 respectfully </w:t>
            </w:r>
            <w:r>
              <w:rPr>
                <w:rFonts w:hint="default" w:ascii="Times New Roman" w:hAnsi="Times New Roman" w:eastAsia="微软雅黑" w:cs="Times New Roman"/>
                <w:sz w:val="20"/>
                <w:szCs w:val="20"/>
                <w:lang w:eastAsia="zh-CN"/>
              </w:rPr>
              <w:t>ask</w:t>
            </w:r>
            <w:r>
              <w:rPr>
                <w:rFonts w:hint="default" w:ascii="Times New Roman" w:hAnsi="Times New Roman" w:eastAsia="微软雅黑" w:cs="Times New Roman"/>
                <w:sz w:val="20"/>
                <w:szCs w:val="20"/>
              </w:rPr>
              <w:t xml:space="preserve">s RAN4 </w:t>
            </w:r>
            <w:r>
              <w:rPr>
                <w:rFonts w:hint="default" w:ascii="Times New Roman" w:hAnsi="Times New Roman" w:eastAsia="微软雅黑" w:cs="Times New Roman"/>
                <w:sz w:val="20"/>
                <w:szCs w:val="20"/>
                <w:lang w:eastAsia="zh-CN"/>
              </w:rPr>
              <w:t>to take the above reply into account in their future work.</w:t>
            </w:r>
          </w:p>
          <w:p w14:paraId="2072C7F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微软雅黑" w:cs="Times New Roman"/>
                <w:sz w:val="20"/>
                <w:szCs w:val="20"/>
                <w:lang w:val="en-US" w:eastAsia="zh-CN"/>
              </w:rPr>
            </w:pPr>
          </w:p>
        </w:tc>
      </w:tr>
    </w:tbl>
    <w:p w14:paraId="6262DBC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67F7907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olor w:val="000000"/>
          <w:sz w:val="20"/>
          <w:szCs w:val="20"/>
          <w:lang w:val="en-US" w:eastAsia="zh-CN"/>
        </w:rPr>
      </w:pPr>
      <w:r>
        <w:rPr>
          <w:rFonts w:hint="eastAsia" w:ascii="Times New Roman" w:hAnsi="Times New Roman"/>
          <w:sz w:val="20"/>
          <w:szCs w:val="20"/>
          <w:lang w:val="en-US" w:eastAsia="zh-CN"/>
        </w:rPr>
        <w:t xml:space="preserve">According to RAN1 reply LS, </w:t>
      </w:r>
      <w:r>
        <w:rPr>
          <w:rFonts w:hint="default" w:ascii="Times New Roman" w:hAnsi="Times New Roman" w:eastAsia="微软雅黑" w:cs="Times New Roman"/>
          <w:sz w:val="20"/>
          <w:szCs w:val="20"/>
          <w:lang w:eastAsia="ko-KR"/>
        </w:rPr>
        <w:t>L1 UE-to-UE CLI measurement and reporting specified by RAN1 can be applied for both</w:t>
      </w:r>
      <w:r>
        <w:rPr>
          <w:rFonts w:hint="eastAsia" w:ascii="Times New Roman" w:hAnsi="Times New Roman" w:eastAsia="微软雅黑" w:cs="Times New Roman"/>
          <w:sz w:val="20"/>
          <w:szCs w:val="20"/>
          <w:lang w:val="en-US" w:eastAsia="zh-CN"/>
        </w:rPr>
        <w:t xml:space="preserve"> intra-cell scenario and i</w:t>
      </w:r>
      <w:r>
        <w:rPr>
          <w:rFonts w:ascii="Times New Roman" w:hAnsi="Times New Roman" w:eastAsia="Times New Roman"/>
          <w:color w:val="000000"/>
          <w:sz w:val="20"/>
          <w:szCs w:val="20"/>
          <w:lang w:eastAsia="en-GB"/>
        </w:rPr>
        <w:t xml:space="preserve">nter-cell </w:t>
      </w:r>
      <w:r>
        <w:rPr>
          <w:rFonts w:hint="eastAsia" w:ascii="Times New Roman" w:hAnsi="Times New Roman"/>
          <w:color w:val="000000"/>
          <w:sz w:val="20"/>
          <w:szCs w:val="20"/>
          <w:lang w:val="en-US" w:eastAsia="zh-CN"/>
        </w:rPr>
        <w:t xml:space="preserve">scenario. We notice that RAN1 reply LS also mentioned that from </w:t>
      </w:r>
      <w:r>
        <w:rPr>
          <w:rFonts w:hint="default" w:ascii="Times New Roman" w:hAnsi="Times New Roman" w:eastAsia="微软雅黑" w:cs="Times New Roman"/>
          <w:sz w:val="20"/>
          <w:szCs w:val="20"/>
        </w:rPr>
        <w:t>RAN1 perspective, intra-cell UE-to-UE L1 CLI measurement scenario can be prioritized for the requirements of L1 SRS-RSRP measurement</w:t>
      </w:r>
      <w:r>
        <w:rPr>
          <w:rFonts w:hint="eastAsia" w:ascii="Times New Roman" w:hAnsi="Times New Roman" w:eastAsia="微软雅黑" w:cs="Times New Roman"/>
          <w:sz w:val="20"/>
          <w:szCs w:val="20"/>
          <w:lang w:val="en-US" w:eastAsia="zh-CN"/>
        </w:rPr>
        <w:t>, considering no specification impact for SRS configuration information exchange between gNBs. However, similar situation exsits for Rel-16 L3 CLI</w:t>
      </w:r>
      <w:r>
        <w:rPr>
          <w:rFonts w:hint="eastAsia" w:ascii="Times New Roman" w:hAnsi="Times New Roman"/>
          <w:color w:val="000000"/>
          <w:sz w:val="20"/>
          <w:szCs w:val="20"/>
          <w:lang w:val="en-US" w:eastAsia="zh-CN"/>
        </w:rPr>
        <w:t xml:space="preserve"> measurement that even though how </w:t>
      </w:r>
      <w:r>
        <w:rPr>
          <w:rFonts w:hint="eastAsia" w:ascii="Times New Roman" w:hAnsi="Times New Roman" w:eastAsia="微软雅黑" w:cs="Times New Roman"/>
          <w:sz w:val="20"/>
          <w:szCs w:val="20"/>
          <w:lang w:val="en-US" w:eastAsia="zh-CN"/>
        </w:rPr>
        <w:t>SRS configuration information are exchanged between gNBs</w:t>
      </w:r>
      <w:r>
        <w:rPr>
          <w:rFonts w:hint="eastAsia" w:ascii="Times New Roman" w:hAnsi="Times New Roman"/>
          <w:color w:val="000000"/>
          <w:sz w:val="20"/>
          <w:szCs w:val="20"/>
          <w:lang w:val="en-US" w:eastAsia="zh-CN"/>
        </w:rPr>
        <w:t xml:space="preserve"> are not specified in Rel-16, but RAN4 requirements for Rel-16 CLI measurement are specified to cover inter-cell scenario with the assumption that </w:t>
      </w:r>
      <w:r>
        <w:rPr>
          <w:rFonts w:hint="eastAsia" w:ascii="Times New Roman" w:hAnsi="Times New Roman" w:eastAsia="微软雅黑" w:cs="Times New Roman"/>
          <w:sz w:val="20"/>
          <w:szCs w:val="20"/>
          <w:lang w:val="en-US" w:eastAsia="zh-CN"/>
        </w:rPr>
        <w:t>SRS configuration information exchange between gNBs is left to network implementation. Similar approach can be used for RAN4 requirements definition for Rel-19 L1 CLI measurement. What</w:t>
      </w:r>
      <w:r>
        <w:rPr>
          <w:rFonts w:hint="default" w:ascii="Times New Roman" w:hAnsi="Times New Roman" w:eastAsia="微软雅黑" w:cs="Times New Roman"/>
          <w:sz w:val="20"/>
          <w:szCs w:val="20"/>
          <w:lang w:val="en-US" w:eastAsia="zh-CN"/>
        </w:rPr>
        <w:t>’</w:t>
      </w:r>
      <w:r>
        <w:rPr>
          <w:rFonts w:hint="eastAsia" w:ascii="Times New Roman" w:hAnsi="Times New Roman" w:eastAsia="微软雅黑" w:cs="Times New Roman"/>
          <w:sz w:val="20"/>
          <w:szCs w:val="20"/>
          <w:lang w:val="en-US" w:eastAsia="zh-CN"/>
        </w:rPr>
        <w:t xml:space="preserve">s more, From deployment point of view, </w:t>
      </w:r>
      <w:r>
        <w:rPr>
          <w:rFonts w:hint="eastAsia" w:ascii="Times New Roman" w:hAnsi="Times New Roman"/>
          <w:sz w:val="20"/>
          <w:szCs w:val="20"/>
          <w:lang w:val="en-US" w:eastAsia="zh-CN"/>
        </w:rPr>
        <w:t xml:space="preserve">only consider intra-cell is too limited. </w:t>
      </w:r>
      <w:r>
        <w:rPr>
          <w:rFonts w:hint="eastAsia" w:ascii="Times New Roman" w:hAnsi="Times New Roman" w:eastAsia="微软雅黑" w:cs="Times New Roman"/>
          <w:sz w:val="20"/>
          <w:szCs w:val="20"/>
          <w:lang w:val="en-US" w:eastAsia="zh-CN"/>
        </w:rPr>
        <w:t>Based on above consideration, it is proposed to define RAN4 requirements for L1 CLI for both intra-cell scenario and i</w:t>
      </w:r>
      <w:r>
        <w:rPr>
          <w:rFonts w:ascii="Times New Roman" w:hAnsi="Times New Roman" w:eastAsia="Times New Roman"/>
          <w:color w:val="000000"/>
          <w:sz w:val="20"/>
          <w:szCs w:val="20"/>
          <w:lang w:eastAsia="en-GB"/>
        </w:rPr>
        <w:t xml:space="preserve">nter-cell </w:t>
      </w:r>
      <w:r>
        <w:rPr>
          <w:rFonts w:hint="eastAsia" w:ascii="Times New Roman" w:hAnsi="Times New Roman"/>
          <w:color w:val="000000"/>
          <w:sz w:val="20"/>
          <w:szCs w:val="20"/>
          <w:lang w:val="en-US" w:eastAsia="zh-CN"/>
        </w:rPr>
        <w:t>scenario.</w:t>
      </w:r>
    </w:p>
    <w:p w14:paraId="0F5F134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color w:val="000000"/>
          <w:sz w:val="20"/>
          <w:szCs w:val="20"/>
          <w:lang w:val="en-US" w:eastAsia="zh-CN"/>
        </w:rPr>
      </w:pPr>
      <w:r>
        <w:rPr>
          <w:rFonts w:hint="eastAsia" w:ascii="Times New Roman" w:hAnsi="Times New Roman"/>
          <w:b/>
          <w:bCs/>
          <w:i/>
          <w:iCs/>
          <w:color w:val="000000"/>
          <w:sz w:val="20"/>
          <w:szCs w:val="20"/>
          <w:lang w:val="en-US" w:eastAsia="zh-CN"/>
        </w:rPr>
        <w:t xml:space="preserve">Proposal 5: for timing offset, it is proposed to define </w:t>
      </w:r>
      <w:r>
        <w:rPr>
          <w:rFonts w:hint="default" w:ascii="Times New Roman" w:hAnsi="Times New Roman" w:eastAsia="微软雅黑" w:cs="Times New Roman"/>
          <w:b/>
          <w:bCs/>
          <w:i/>
          <w:iCs/>
          <w:sz w:val="20"/>
          <w:szCs w:val="20"/>
          <w:lang w:eastAsia="ko-KR"/>
        </w:rPr>
        <w:t>L1 UE-to-UE CLI measurement</w:t>
      </w:r>
      <w:r>
        <w:rPr>
          <w:rFonts w:hint="eastAsia" w:ascii="Times New Roman" w:hAnsi="Times New Roman" w:eastAsia="微软雅黑" w:cs="Times New Roman"/>
          <w:b/>
          <w:bCs/>
          <w:i/>
          <w:iCs/>
          <w:sz w:val="20"/>
          <w:szCs w:val="20"/>
          <w:lang w:val="en-US" w:eastAsia="zh-CN"/>
        </w:rPr>
        <w:t xml:space="preserve"> </w:t>
      </w:r>
      <w:r>
        <w:rPr>
          <w:rFonts w:hint="eastAsia" w:ascii="Times New Roman" w:hAnsi="Times New Roman"/>
          <w:b/>
          <w:bCs/>
          <w:i/>
          <w:iCs/>
          <w:color w:val="000000"/>
          <w:sz w:val="20"/>
          <w:szCs w:val="20"/>
          <w:lang w:val="en-US" w:eastAsia="zh-CN"/>
        </w:rPr>
        <w:t>requirements with cell phase error, same as Rel-16 L3 CLI measurement.</w:t>
      </w:r>
    </w:p>
    <w:p w14:paraId="2C8051B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微软雅黑" w:cs="Times New Roman"/>
          <w:sz w:val="20"/>
          <w:szCs w:val="20"/>
          <w:lang w:val="en-US" w:eastAsia="zh-CN"/>
        </w:rPr>
      </w:pPr>
      <w:r>
        <w:rPr>
          <w:rFonts w:hint="eastAsia" w:ascii="Times New Roman" w:hAnsi="Times New Roman" w:eastAsia="微软雅黑" w:cs="Times New Roman"/>
          <w:sz w:val="20"/>
          <w:szCs w:val="20"/>
          <w:lang w:val="en-US" w:eastAsia="zh-CN"/>
        </w:rPr>
        <w:t xml:space="preserve">According to the agreed simulation assumption [5], both case 1 and case 2 are simulated. For Case 1, the residual timing error is 4.67us for FR1 and 3.67us for FR2, same as the Rel-16. Case 2 remove the cell phase error, in detail, the residual timing error is 1.67us for FR1 and 0.67us for FR2. We summarize simulation results provided by companies in last meeting to compare the measurement between case 1 and case 2, the detail can be found as following Table 1. </w:t>
      </w:r>
      <w:r>
        <w:rPr>
          <w:rFonts w:hint="eastAsia" w:ascii="Times New Roman" w:hAnsi="Times New Roman"/>
          <w:sz w:val="20"/>
          <w:szCs w:val="20"/>
          <w:lang w:val="en-US" w:eastAsia="zh-CN"/>
        </w:rPr>
        <w:t>According to Table 1 of simulation results summary, it can be seen that for the smaller SCS, e.g. SCS of 15KHz and 30KHz, the performance difference between case 1 and case 2 is within 1dB. While with SCS is increasing, the performance difference between 2 cases are increasing.</w:t>
      </w:r>
      <w:r>
        <w:rPr>
          <w:rFonts w:hint="eastAsia" w:ascii="Times New Roman" w:hAnsi="Times New Roman" w:eastAsia="微软雅黑" w:cs="Times New Roman"/>
          <w:sz w:val="20"/>
          <w:szCs w:val="20"/>
          <w:lang w:val="en-US" w:eastAsia="zh-CN"/>
        </w:rPr>
        <w:t xml:space="preserve"> For SCS of 120KHz, the difference could be 5dB.   </w:t>
      </w:r>
    </w:p>
    <w:p w14:paraId="7705F188">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eastAsia" w:ascii="Times New Roman" w:hAnsi="Times New Roman" w:eastAsia="微软雅黑" w:cs="Times New Roman"/>
          <w:sz w:val="20"/>
          <w:szCs w:val="20"/>
          <w:lang w:val="en-US" w:eastAsia="zh-CN"/>
        </w:rPr>
      </w:pPr>
      <w:r>
        <w:rPr>
          <w:rFonts w:hint="eastAsia" w:ascii="Times New Roman" w:hAnsi="Times New Roman" w:eastAsia="微软雅黑" w:cs="Times New Roman"/>
          <w:sz w:val="20"/>
          <w:szCs w:val="20"/>
          <w:lang w:val="en-US" w:eastAsia="zh-CN"/>
        </w:rPr>
        <w:t>Table 1 performance comparison between case 1 and case 2 based on companies</w:t>
      </w:r>
      <w:r>
        <w:rPr>
          <w:rFonts w:hint="default" w:ascii="Times New Roman" w:hAnsi="Times New Roman" w:eastAsia="微软雅黑" w:cs="Times New Roman"/>
          <w:sz w:val="20"/>
          <w:szCs w:val="20"/>
          <w:lang w:val="en-US" w:eastAsia="zh-CN"/>
        </w:rPr>
        <w:t>’</w:t>
      </w:r>
      <w:r>
        <w:rPr>
          <w:rFonts w:hint="eastAsia" w:ascii="Times New Roman" w:hAnsi="Times New Roman" w:eastAsia="微软雅黑" w:cs="Times New Roman"/>
          <w:sz w:val="20"/>
          <w:szCs w:val="20"/>
          <w:lang w:val="en-US" w:eastAsia="zh-CN"/>
        </w:rPr>
        <w:t xml:space="preserve"> simulation results,</w:t>
      </w:r>
    </w:p>
    <w:p w14:paraId="652BEB80">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default" w:ascii="Times New Roman" w:hAnsi="Times New Roman" w:eastAsia="微软雅黑" w:cs="Times New Roman"/>
          <w:sz w:val="20"/>
          <w:szCs w:val="20"/>
          <w:lang w:val="en-US" w:eastAsia="zh-CN"/>
        </w:rPr>
      </w:pPr>
      <w:r>
        <w:rPr>
          <w:rFonts w:hint="eastAsia" w:ascii="Times New Roman" w:hAnsi="Times New Roman" w:eastAsia="微软雅黑" w:cs="Times New Roman"/>
          <w:sz w:val="20"/>
          <w:szCs w:val="20"/>
          <w:lang w:val="en-US" w:eastAsia="zh-CN"/>
        </w:rPr>
        <w:t>(SNR=1dB, SRS symbol number = 1)</w:t>
      </w:r>
    </w:p>
    <w:tbl>
      <w:tblPr>
        <w:tblStyle w:val="8"/>
        <w:tblW w:w="855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97"/>
        <w:gridCol w:w="450"/>
        <w:gridCol w:w="511"/>
        <w:gridCol w:w="678"/>
        <w:gridCol w:w="425"/>
        <w:gridCol w:w="425"/>
        <w:gridCol w:w="425"/>
        <w:gridCol w:w="425"/>
        <w:gridCol w:w="425"/>
        <w:gridCol w:w="425"/>
        <w:gridCol w:w="425"/>
        <w:gridCol w:w="425"/>
        <w:gridCol w:w="366"/>
        <w:gridCol w:w="416"/>
        <w:gridCol w:w="366"/>
        <w:gridCol w:w="416"/>
        <w:gridCol w:w="425"/>
        <w:gridCol w:w="416"/>
        <w:gridCol w:w="425"/>
        <w:gridCol w:w="416"/>
      </w:tblGrid>
      <w:tr w14:paraId="79CC8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1508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FR</w:t>
            </w:r>
          </w:p>
        </w:tc>
        <w:tc>
          <w:tcPr>
            <w:tcW w:w="4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DA4F2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SCS</w:t>
            </w:r>
            <w:r>
              <w:rPr>
                <w:rFonts w:hint="default" w:ascii="Times New Roman" w:hAnsi="Times New Roman" w:eastAsia="宋体" w:cs="Times New Roman"/>
                <w:i w:val="0"/>
                <w:iCs w:val="0"/>
                <w:color w:val="000000"/>
                <w:kern w:val="0"/>
                <w:sz w:val="10"/>
                <w:szCs w:val="10"/>
                <w:u w:val="none"/>
                <w:lang w:val="en-US" w:eastAsia="zh-CN" w:bidi="ar"/>
              </w:rPr>
              <w:br w:type="textWrapping"/>
            </w:r>
            <w:r>
              <w:rPr>
                <w:rFonts w:hint="default" w:ascii="Times New Roman" w:hAnsi="Times New Roman" w:eastAsia="宋体" w:cs="Times New Roman"/>
                <w:i w:val="0"/>
                <w:iCs w:val="0"/>
                <w:color w:val="000000"/>
                <w:kern w:val="0"/>
                <w:sz w:val="10"/>
                <w:szCs w:val="10"/>
                <w:u w:val="none"/>
                <w:lang w:val="en-US" w:eastAsia="zh-CN" w:bidi="ar"/>
              </w:rPr>
              <w:t>(kHz)</w:t>
            </w: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6AADF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 xml:space="preserve">SRS </w:t>
            </w:r>
            <w:r>
              <w:rPr>
                <w:rFonts w:hint="default" w:ascii="Times New Roman" w:hAnsi="Times New Roman" w:eastAsia="宋体" w:cs="Times New Roman"/>
                <w:i w:val="0"/>
                <w:iCs w:val="0"/>
                <w:color w:val="000000"/>
                <w:kern w:val="0"/>
                <w:sz w:val="10"/>
                <w:szCs w:val="10"/>
                <w:u w:val="none"/>
                <w:lang w:val="en-US" w:eastAsia="zh-CN" w:bidi="ar"/>
              </w:rPr>
              <w:br w:type="textWrapping"/>
            </w:r>
            <w:r>
              <w:rPr>
                <w:rFonts w:hint="default" w:ascii="Times New Roman" w:hAnsi="Times New Roman" w:eastAsia="宋体" w:cs="Times New Roman"/>
                <w:i w:val="0"/>
                <w:iCs w:val="0"/>
                <w:color w:val="000000"/>
                <w:kern w:val="0"/>
                <w:sz w:val="10"/>
                <w:szCs w:val="10"/>
                <w:u w:val="none"/>
                <w:lang w:val="en-US" w:eastAsia="zh-CN" w:bidi="ar"/>
              </w:rPr>
              <w:t>BW</w:t>
            </w:r>
            <w:r>
              <w:rPr>
                <w:rFonts w:hint="default" w:ascii="Times New Roman" w:hAnsi="Times New Roman" w:eastAsia="宋体" w:cs="Times New Roman"/>
                <w:i w:val="0"/>
                <w:iCs w:val="0"/>
                <w:color w:val="000000"/>
                <w:kern w:val="0"/>
                <w:sz w:val="10"/>
                <w:szCs w:val="10"/>
                <w:u w:val="none"/>
                <w:lang w:val="en-US" w:eastAsia="zh-CN" w:bidi="ar"/>
              </w:rPr>
              <w:br w:type="textWrapping"/>
            </w:r>
            <w:r>
              <w:rPr>
                <w:rFonts w:hint="default" w:ascii="Times New Roman" w:hAnsi="Times New Roman" w:eastAsia="宋体" w:cs="Times New Roman"/>
                <w:i w:val="0"/>
                <w:iCs w:val="0"/>
                <w:color w:val="000000"/>
                <w:kern w:val="0"/>
                <w:sz w:val="10"/>
                <w:szCs w:val="10"/>
                <w:u w:val="none"/>
                <w:lang w:val="en-US" w:eastAsia="zh-CN" w:bidi="ar"/>
              </w:rPr>
              <w:t>(PRBs)</w:t>
            </w:r>
          </w:p>
        </w:tc>
        <w:tc>
          <w:tcPr>
            <w:tcW w:w="67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11063">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Sample</w:t>
            </w:r>
          </w:p>
        </w:tc>
        <w:tc>
          <w:tcPr>
            <w:tcW w:w="162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83C2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lang w:val="en-US"/>
              </w:rPr>
            </w:pPr>
            <w:r>
              <w:rPr>
                <w:rFonts w:hint="default" w:ascii="Times New Roman" w:hAnsi="Times New Roman" w:eastAsia="宋体" w:cs="Times New Roman"/>
                <w:i w:val="0"/>
                <w:iCs w:val="0"/>
                <w:color w:val="000000"/>
                <w:kern w:val="0"/>
                <w:sz w:val="10"/>
                <w:szCs w:val="10"/>
                <w:u w:val="none"/>
                <w:lang w:val="en-US" w:eastAsia="zh-CN" w:bidi="ar"/>
              </w:rPr>
              <w:t>CATT</w:t>
            </w:r>
            <w:r>
              <w:rPr>
                <w:rFonts w:hint="eastAsia" w:ascii="Times New Roman" w:hAnsi="Times New Roman" w:cs="Times New Roman"/>
                <w:i w:val="0"/>
                <w:iCs w:val="0"/>
                <w:color w:val="000000"/>
                <w:kern w:val="0"/>
                <w:sz w:val="10"/>
                <w:szCs w:val="10"/>
                <w:u w:val="none"/>
                <w:lang w:val="en-US" w:eastAsia="zh-CN" w:bidi="ar"/>
              </w:rPr>
              <w:t xml:space="preserve"> (R4-2417696)</w:t>
            </w:r>
          </w:p>
        </w:tc>
        <w:tc>
          <w:tcPr>
            <w:tcW w:w="162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F623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lang w:val="en-US"/>
              </w:rPr>
            </w:pPr>
            <w:r>
              <w:rPr>
                <w:rFonts w:hint="default" w:ascii="Times New Roman" w:hAnsi="Times New Roman" w:eastAsia="宋体" w:cs="Times New Roman"/>
                <w:i w:val="0"/>
                <w:iCs w:val="0"/>
                <w:color w:val="000000"/>
                <w:kern w:val="0"/>
                <w:sz w:val="10"/>
                <w:szCs w:val="10"/>
                <w:u w:val="none"/>
                <w:lang w:val="en-US" w:eastAsia="zh-CN" w:bidi="ar"/>
              </w:rPr>
              <w:t>HW</w:t>
            </w:r>
            <w:r>
              <w:rPr>
                <w:rFonts w:hint="eastAsia" w:ascii="Times New Roman" w:hAnsi="Times New Roman" w:cs="Times New Roman"/>
                <w:i w:val="0"/>
                <w:iCs w:val="0"/>
                <w:color w:val="000000"/>
                <w:kern w:val="0"/>
                <w:sz w:val="10"/>
                <w:szCs w:val="10"/>
                <w:u w:val="none"/>
                <w:lang w:val="en-US" w:eastAsia="zh-CN" w:bidi="ar"/>
              </w:rPr>
              <w:t xml:space="preserve"> (R4-2419148)</w:t>
            </w:r>
          </w:p>
        </w:tc>
        <w:tc>
          <w:tcPr>
            <w:tcW w:w="1513"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FA31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lang w:val="en-US"/>
              </w:rPr>
            </w:pPr>
            <w:r>
              <w:rPr>
                <w:rFonts w:hint="default" w:ascii="Times New Roman" w:hAnsi="Times New Roman" w:eastAsia="宋体" w:cs="Times New Roman"/>
                <w:i w:val="0"/>
                <w:iCs w:val="0"/>
                <w:color w:val="000000"/>
                <w:kern w:val="0"/>
                <w:sz w:val="10"/>
                <w:szCs w:val="10"/>
                <w:u w:val="none"/>
                <w:lang w:val="en-US" w:eastAsia="zh-CN" w:bidi="ar"/>
              </w:rPr>
              <w:t>Samsung</w:t>
            </w:r>
            <w:r>
              <w:rPr>
                <w:rFonts w:hint="eastAsia" w:ascii="Times New Roman" w:hAnsi="Times New Roman" w:cs="Times New Roman"/>
                <w:i w:val="0"/>
                <w:iCs w:val="0"/>
                <w:color w:val="000000"/>
                <w:kern w:val="0"/>
                <w:sz w:val="10"/>
                <w:szCs w:val="10"/>
                <w:u w:val="none"/>
                <w:lang w:val="en-US" w:eastAsia="zh-CN" w:bidi="ar"/>
              </w:rPr>
              <w:t xml:space="preserve"> (R4-2419620)</w:t>
            </w:r>
          </w:p>
        </w:tc>
        <w:tc>
          <w:tcPr>
            <w:tcW w:w="163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9ED0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lang w:val="en-US"/>
              </w:rPr>
            </w:pPr>
            <w:r>
              <w:rPr>
                <w:rFonts w:hint="default" w:ascii="Times New Roman" w:hAnsi="Times New Roman" w:eastAsia="宋体" w:cs="Times New Roman"/>
                <w:i w:val="0"/>
                <w:iCs w:val="0"/>
                <w:color w:val="000000"/>
                <w:kern w:val="0"/>
                <w:sz w:val="10"/>
                <w:szCs w:val="10"/>
                <w:u w:val="none"/>
                <w:lang w:val="en-US" w:eastAsia="zh-CN" w:bidi="ar"/>
              </w:rPr>
              <w:t>Ericsson</w:t>
            </w:r>
            <w:r>
              <w:rPr>
                <w:rFonts w:hint="eastAsia" w:ascii="Times New Roman" w:hAnsi="Times New Roman" w:cs="Times New Roman"/>
                <w:i w:val="0"/>
                <w:iCs w:val="0"/>
                <w:color w:val="000000"/>
                <w:kern w:val="0"/>
                <w:sz w:val="10"/>
                <w:szCs w:val="10"/>
                <w:u w:val="none"/>
                <w:lang w:val="en-US" w:eastAsia="zh-CN" w:bidi="ar"/>
              </w:rPr>
              <w:t xml:space="preserve"> (R4-2419442)</w:t>
            </w:r>
          </w:p>
        </w:tc>
      </w:tr>
      <w:tr w14:paraId="7D448A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60F77">
            <w:pPr>
              <w:jc w:val="center"/>
              <w:rPr>
                <w:rFonts w:hint="default" w:ascii="Times New Roman" w:hAnsi="Times New Roman" w:eastAsia="宋体" w:cs="Times New Roman"/>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ED66D0">
            <w:pPr>
              <w:jc w:val="center"/>
              <w:rPr>
                <w:rFonts w:hint="default" w:ascii="Times New Roman" w:hAnsi="Times New Roman" w:eastAsia="宋体" w:cs="Times New Roman"/>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393699">
            <w:pPr>
              <w:jc w:val="center"/>
              <w:rPr>
                <w:rFonts w:hint="default" w:ascii="Times New Roman" w:hAnsi="Times New Roman" w:eastAsia="宋体" w:cs="Times New Roman"/>
                <w:i w:val="0"/>
                <w:iCs w:val="0"/>
                <w:color w:val="000000"/>
                <w:sz w:val="10"/>
                <w:szCs w:val="10"/>
                <w:u w:val="none"/>
              </w:rPr>
            </w:pPr>
          </w:p>
        </w:tc>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F5D45">
            <w:pPr>
              <w:jc w:val="center"/>
              <w:rPr>
                <w:rFonts w:hint="default" w:ascii="Times New Roman" w:hAnsi="Times New Roman" w:eastAsia="宋体" w:cs="Times New Roman"/>
                <w:i w:val="0"/>
                <w:iCs w:val="0"/>
                <w:color w:val="000000"/>
                <w:sz w:val="10"/>
                <w:szCs w:val="10"/>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E080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case 1</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84BB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case 2</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654F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case 1</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EB8D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case 2</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2935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case 1</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1E3F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case 2</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B5FE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case 1</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DB21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case 2</w:t>
            </w:r>
          </w:p>
        </w:tc>
      </w:tr>
      <w:tr w14:paraId="622D6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DFD4D">
            <w:pPr>
              <w:jc w:val="center"/>
              <w:rPr>
                <w:rFonts w:hint="default" w:ascii="Times New Roman" w:hAnsi="Times New Roman" w:eastAsia="宋体" w:cs="Times New Roman"/>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6ED96A">
            <w:pPr>
              <w:jc w:val="center"/>
              <w:rPr>
                <w:rFonts w:hint="default" w:ascii="Times New Roman" w:hAnsi="Times New Roman" w:eastAsia="宋体" w:cs="Times New Roman"/>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722744">
            <w:pPr>
              <w:jc w:val="center"/>
              <w:rPr>
                <w:rFonts w:hint="default" w:ascii="Times New Roman" w:hAnsi="Times New Roman" w:eastAsia="宋体" w:cs="Times New Roman"/>
                <w:i w:val="0"/>
                <w:iCs w:val="0"/>
                <w:color w:val="000000"/>
                <w:sz w:val="10"/>
                <w:szCs w:val="10"/>
                <w:u w:val="none"/>
              </w:rPr>
            </w:pPr>
          </w:p>
        </w:tc>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E74D1">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AB9A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5%</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C8C0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95%</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EBCE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5%</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9578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95%</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02A8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5%</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B9C7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95%</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8502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5%</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E80E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95%</w:t>
            </w: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9181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5%</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1DFC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95%</w:t>
            </w: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733D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5%</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DE58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95%</w:t>
            </w: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8482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5%</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CB20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95%</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BF3E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5%</w:t>
            </w: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7993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95%</w:t>
            </w:r>
          </w:p>
        </w:tc>
      </w:tr>
      <w:tr w14:paraId="37C17B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51F09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FR1</w:t>
            </w:r>
          </w:p>
        </w:tc>
        <w:tc>
          <w:tcPr>
            <w:tcW w:w="4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941B6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15</w:t>
            </w: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48A74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24</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CE52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86CF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-0.98</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9A17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0.41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004B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-0.61</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842FD">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01336">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83B7D">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2A3F0">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9DB15">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00434">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B3FD0">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8DCA6">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EBD0B">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71402">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B9591">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32212">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57C72">
            <w:pPr>
              <w:jc w:val="center"/>
              <w:rPr>
                <w:rFonts w:hint="default" w:ascii="Times New Roman" w:hAnsi="Times New Roman" w:eastAsia="宋体" w:cs="Times New Roman"/>
                <w:i w:val="0"/>
                <w:iCs w:val="0"/>
                <w:color w:val="000000"/>
                <w:sz w:val="10"/>
                <w:szCs w:val="10"/>
                <w:u w:val="none"/>
              </w:rPr>
            </w:pPr>
          </w:p>
        </w:tc>
      </w:tr>
      <w:tr w14:paraId="18EC19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D397C7">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308B63">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0BAD13">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2D6F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5FCE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ABBD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D46D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-0.41</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614A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0.54</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120C1">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BD5E5">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38470">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01B9D">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3BCB6">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05776">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FAC79">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5B340">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D078E">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68CDF">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A23EA">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D8388">
            <w:pPr>
              <w:jc w:val="center"/>
              <w:rPr>
                <w:rFonts w:hint="default" w:ascii="Times New Roman" w:hAnsi="Times New Roman" w:eastAsia="宋体" w:cs="Times New Roman"/>
                <w:i w:val="0"/>
                <w:iCs w:val="0"/>
                <w:color w:val="000000"/>
                <w:sz w:val="10"/>
                <w:szCs w:val="10"/>
                <w:u w:val="none"/>
              </w:rPr>
            </w:pPr>
          </w:p>
        </w:tc>
      </w:tr>
      <w:tr w14:paraId="629E8C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B62C2E">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C22E02">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B5ED5E">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6E74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48AC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F5D2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E72A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-0.35</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EF07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0.48</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F9086">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90AC5">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19C6A">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FE780">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22B5C">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97B99">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1AEFD">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3179B">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B3D51">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84601">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A4FF6">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AED82">
            <w:pPr>
              <w:jc w:val="center"/>
              <w:rPr>
                <w:rFonts w:hint="default" w:ascii="Times New Roman" w:hAnsi="Times New Roman" w:eastAsia="宋体" w:cs="Times New Roman"/>
                <w:i w:val="0"/>
                <w:iCs w:val="0"/>
                <w:color w:val="000000"/>
                <w:sz w:val="10"/>
                <w:szCs w:val="10"/>
                <w:u w:val="none"/>
              </w:rPr>
            </w:pPr>
          </w:p>
        </w:tc>
      </w:tr>
      <w:tr w14:paraId="26C956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CEC885">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AC406C">
            <w:pPr>
              <w:jc w:val="center"/>
              <w:rPr>
                <w:rFonts w:hint="default" w:ascii="Times New Roman" w:hAnsi="Times New Roman" w:eastAsia="宋体" w:cs="Times New Roman"/>
                <w:b/>
                <w:bCs/>
                <w:i w:val="0"/>
                <w:iCs w:val="0"/>
                <w:color w:val="000000"/>
                <w:sz w:val="10"/>
                <w:szCs w:val="10"/>
                <w:u w:val="none"/>
              </w:rPr>
            </w:pP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EBF1DE"/>
            <w:vAlign w:val="center"/>
          </w:tcPr>
          <w:p w14:paraId="2AAD2FB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48</w:t>
            </w: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85D0E6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4BDEB8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-0.83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4C3FA4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7E64D9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84DCF9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0.48</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BA42D8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-0.98</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A5F878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0.07</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57C6ED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-0.54</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602AA1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0.42</w:t>
            </w: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D264E9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50B452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A1ED21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64D4997">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0B48FE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-0.14</w:t>
            </w: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31EECD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0.74</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ADC87BD">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0.03</w:t>
            </w: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5B5276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0.76</w:t>
            </w:r>
          </w:p>
        </w:tc>
      </w:tr>
      <w:tr w14:paraId="75B2E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3A1CFE">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3015D4">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14:paraId="68A8CEF4">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238B58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7BF0C1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96FC54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-0.01</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3A08E3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-0.36</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2BF2E4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36CE8A0">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14E2206">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5593DF9">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4F6ED07">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1A9F3D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1.1</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F0C1BF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1.1</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E3C724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FF079D4">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02935BA">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BF0063B">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6DC4C08">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4BD9711">
            <w:pPr>
              <w:jc w:val="center"/>
              <w:rPr>
                <w:rFonts w:hint="default" w:ascii="Times New Roman" w:hAnsi="Times New Roman" w:eastAsia="宋体" w:cs="Times New Roman"/>
                <w:i w:val="0"/>
                <w:iCs w:val="0"/>
                <w:color w:val="000000"/>
                <w:sz w:val="10"/>
                <w:szCs w:val="10"/>
                <w:u w:val="none"/>
              </w:rPr>
            </w:pPr>
          </w:p>
        </w:tc>
      </w:tr>
      <w:tr w14:paraId="2CD0B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9BBD50">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79F38C">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14:paraId="56567A92">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27A167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3D830D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C7E5B8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6C5836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-0.29</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4EE629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0.26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B41D4F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-0.84</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4C7126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-0.23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E2DE01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-0.39</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55DA0E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0.15</w:t>
            </w: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4977C7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698967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676FDA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70791BC">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7AB361C">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A24E2DF">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273FB5E">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D5E6F84">
            <w:pPr>
              <w:jc w:val="center"/>
              <w:rPr>
                <w:rFonts w:hint="default" w:ascii="Times New Roman" w:hAnsi="Times New Roman" w:eastAsia="宋体" w:cs="Times New Roman"/>
                <w:i w:val="0"/>
                <w:iCs w:val="0"/>
                <w:color w:val="000000"/>
                <w:sz w:val="10"/>
                <w:szCs w:val="10"/>
                <w:u w:val="none"/>
              </w:rPr>
            </w:pPr>
          </w:p>
        </w:tc>
      </w:tr>
      <w:tr w14:paraId="5D574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BE2C3D">
            <w:pPr>
              <w:jc w:val="center"/>
              <w:rPr>
                <w:rFonts w:hint="default" w:ascii="Times New Roman" w:hAnsi="Times New Roman" w:eastAsia="宋体" w:cs="Times New Roman"/>
                <w:b/>
                <w:bCs/>
                <w:i w:val="0"/>
                <w:iCs w:val="0"/>
                <w:color w:val="000000"/>
                <w:sz w:val="10"/>
                <w:szCs w:val="10"/>
                <w:u w:val="none"/>
              </w:rPr>
            </w:pPr>
          </w:p>
        </w:tc>
        <w:tc>
          <w:tcPr>
            <w:tcW w:w="4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7263F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30</w:t>
            </w: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58E9D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24</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56BD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98BD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-1.58</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A6B6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8453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-0.81</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0F17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B9907">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CE8A0">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70AF9">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879B3">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34E0A">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A49ED">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77032">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E7F5F">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E5D94">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512BA">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A1047">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C33E6">
            <w:pPr>
              <w:jc w:val="center"/>
              <w:rPr>
                <w:rFonts w:hint="default" w:ascii="Times New Roman" w:hAnsi="Times New Roman" w:eastAsia="宋体" w:cs="Times New Roman"/>
                <w:i w:val="0"/>
                <w:iCs w:val="0"/>
                <w:color w:val="000000"/>
                <w:sz w:val="10"/>
                <w:szCs w:val="10"/>
                <w:u w:val="none"/>
              </w:rPr>
            </w:pPr>
          </w:p>
        </w:tc>
      </w:tr>
      <w:tr w14:paraId="30C549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9DE30C">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2650D3">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90E091">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7A03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CF88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-1.38</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CA2C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-0.26</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B60C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-0.61</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0290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0.34</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0FF28">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9EAC0">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89F31">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5316D">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0EC32">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ED643">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8CF31">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2BFE4">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C5D0E">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7680E">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D72C1">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72F79">
            <w:pPr>
              <w:jc w:val="center"/>
              <w:rPr>
                <w:rFonts w:hint="default" w:ascii="Times New Roman" w:hAnsi="Times New Roman" w:eastAsia="宋体" w:cs="Times New Roman"/>
                <w:i w:val="0"/>
                <w:iCs w:val="0"/>
                <w:color w:val="000000"/>
                <w:sz w:val="10"/>
                <w:szCs w:val="10"/>
                <w:u w:val="none"/>
              </w:rPr>
            </w:pPr>
          </w:p>
        </w:tc>
      </w:tr>
      <w:tr w14:paraId="611690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1E5B5B">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559872">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39916E">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0B01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3761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8E16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42B9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-0.55</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35E1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C2075">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5EE49">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C0C03">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D0A67">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50C35">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9F1B2">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B8BCD">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DF156">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C4642">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B1DB6">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EB3FA">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441D1">
            <w:pPr>
              <w:jc w:val="center"/>
              <w:rPr>
                <w:rFonts w:hint="default" w:ascii="Times New Roman" w:hAnsi="Times New Roman" w:eastAsia="宋体" w:cs="Times New Roman"/>
                <w:i w:val="0"/>
                <w:iCs w:val="0"/>
                <w:color w:val="000000"/>
                <w:sz w:val="10"/>
                <w:szCs w:val="10"/>
                <w:u w:val="none"/>
              </w:rPr>
            </w:pPr>
          </w:p>
        </w:tc>
      </w:tr>
      <w:tr w14:paraId="14A12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4F5A6A">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0D586D">
            <w:pPr>
              <w:jc w:val="center"/>
              <w:rPr>
                <w:rFonts w:hint="default" w:ascii="Times New Roman" w:hAnsi="Times New Roman" w:eastAsia="宋体" w:cs="Times New Roman"/>
                <w:b/>
                <w:bCs/>
                <w:i w:val="0"/>
                <w:iCs w:val="0"/>
                <w:color w:val="000000"/>
                <w:sz w:val="10"/>
                <w:szCs w:val="10"/>
                <w:u w:val="none"/>
              </w:rPr>
            </w:pP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EBF1DE"/>
            <w:vAlign w:val="center"/>
          </w:tcPr>
          <w:p w14:paraId="0A6BA4F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48</w:t>
            </w: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38ECBC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9E4894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-1.46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AF59FE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-0.35</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2949C2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-0.67</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EADF78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BE8923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-1.66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0FBC8E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04F6FD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-0.78</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0A375C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0.19</w:t>
            </w: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6AF01B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2.1</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4B4CAA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2.1</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A892D1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4379339">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3005D2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-0.49</w:t>
            </w: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A87F23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0.67</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706669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-0.06</w:t>
            </w: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D9EF5D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0.74</w:t>
            </w:r>
          </w:p>
        </w:tc>
      </w:tr>
      <w:tr w14:paraId="37C05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099B53">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5A9109">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14:paraId="3DBDAE97">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A671D6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F2E5D5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-1.29</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25A8B0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9DF8AB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-0.54</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3B7D0F3">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51FFAF4">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BEC9E1E">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D51E3E0">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39E3F4A">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1F6704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1.9</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2A40EC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1.9</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CA94C5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0.8</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001788D">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34D8139">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ECCFE67">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1740600">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8FC59F9">
            <w:pPr>
              <w:jc w:val="center"/>
              <w:rPr>
                <w:rFonts w:hint="default" w:ascii="Times New Roman" w:hAnsi="Times New Roman" w:eastAsia="宋体" w:cs="Times New Roman"/>
                <w:i w:val="0"/>
                <w:iCs w:val="0"/>
                <w:color w:val="000000"/>
                <w:sz w:val="10"/>
                <w:szCs w:val="10"/>
                <w:u w:val="none"/>
              </w:rPr>
            </w:pPr>
          </w:p>
        </w:tc>
      </w:tr>
      <w:tr w14:paraId="6B822C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22EBCF">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E83DF7">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14:paraId="5E8D9397">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F295AE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0D1548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4DE9AB3">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-0.59</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4E3B27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-0.48</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C32508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A50A8E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-1.54</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1E3750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-0.84</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6CAF8C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-0.64</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888A09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-0.08</w:t>
            </w: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90BC56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1.7</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1292603">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1.7</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830612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0.8</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228FA68">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209E5ED">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4D2B4D5">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03BD171">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1C4ECAE">
            <w:pPr>
              <w:jc w:val="center"/>
              <w:rPr>
                <w:rFonts w:hint="default" w:ascii="Times New Roman" w:hAnsi="Times New Roman" w:eastAsia="宋体" w:cs="Times New Roman"/>
                <w:i w:val="0"/>
                <w:iCs w:val="0"/>
                <w:color w:val="000000"/>
                <w:sz w:val="10"/>
                <w:szCs w:val="10"/>
                <w:u w:val="none"/>
              </w:rPr>
            </w:pPr>
          </w:p>
        </w:tc>
      </w:tr>
      <w:tr w14:paraId="117870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81C9E9">
            <w:pPr>
              <w:jc w:val="center"/>
              <w:rPr>
                <w:rFonts w:hint="default" w:ascii="Times New Roman" w:hAnsi="Times New Roman" w:eastAsia="宋体" w:cs="Times New Roman"/>
                <w:b/>
                <w:bCs/>
                <w:i w:val="0"/>
                <w:iCs w:val="0"/>
                <w:color w:val="000000"/>
                <w:sz w:val="10"/>
                <w:szCs w:val="10"/>
                <w:u w:val="none"/>
              </w:rPr>
            </w:pPr>
          </w:p>
        </w:tc>
        <w:tc>
          <w:tcPr>
            <w:tcW w:w="4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1F7C3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60</w:t>
            </w: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83E78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24</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F9DE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3CDC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-3.12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F20A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7F8D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-1.28</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68EE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0.21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24E96">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8F7F9">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AACBD">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42CEE">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A3B9B">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14479">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307F7">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72315">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F3AA0">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70166">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F5EBB">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4516B">
            <w:pPr>
              <w:jc w:val="center"/>
              <w:rPr>
                <w:rFonts w:hint="default" w:ascii="Times New Roman" w:hAnsi="Times New Roman" w:eastAsia="宋体" w:cs="Times New Roman"/>
                <w:i w:val="0"/>
                <w:iCs w:val="0"/>
                <w:color w:val="000000"/>
                <w:sz w:val="10"/>
                <w:szCs w:val="10"/>
                <w:u w:val="none"/>
              </w:rPr>
            </w:pPr>
          </w:p>
        </w:tc>
      </w:tr>
      <w:tr w14:paraId="6E92A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D79803">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F8410E">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3AFA54">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4654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5A31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-2.82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9582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-1.53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5F33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-1.03</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2A7D3">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932B8">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21FFC">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98B2D">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BF0ED">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82466">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EE636">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CA1F6">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50761">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DD758">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5C71B">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3A0C9">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EA342">
            <w:pPr>
              <w:jc w:val="center"/>
              <w:rPr>
                <w:rFonts w:hint="default" w:ascii="Times New Roman" w:hAnsi="Times New Roman" w:eastAsia="宋体" w:cs="Times New Roman"/>
                <w:i w:val="0"/>
                <w:iCs w:val="0"/>
                <w:color w:val="000000"/>
                <w:sz w:val="10"/>
                <w:szCs w:val="10"/>
                <w:u w:val="none"/>
              </w:rPr>
            </w:pPr>
          </w:p>
        </w:tc>
      </w:tr>
      <w:tr w14:paraId="2244EB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51EF13">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5CC9EE">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FCBD18">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5804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68C2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-2.66</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2161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-1.62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0C293">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-0.93</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1FD1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1E6F2">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876FE">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55AC9">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76087">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45AEB">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71692">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0D3BF">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9C909">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063E8">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8DD7E">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B5E1E">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E287E">
            <w:pPr>
              <w:jc w:val="center"/>
              <w:rPr>
                <w:rFonts w:hint="default" w:ascii="Times New Roman" w:hAnsi="Times New Roman" w:eastAsia="宋体" w:cs="Times New Roman"/>
                <w:i w:val="0"/>
                <w:iCs w:val="0"/>
                <w:color w:val="000000"/>
                <w:sz w:val="10"/>
                <w:szCs w:val="10"/>
                <w:u w:val="none"/>
              </w:rPr>
            </w:pPr>
          </w:p>
        </w:tc>
      </w:tr>
      <w:tr w14:paraId="39763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9DF14D">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4EE315">
            <w:pPr>
              <w:jc w:val="center"/>
              <w:rPr>
                <w:rFonts w:hint="default" w:ascii="Times New Roman" w:hAnsi="Times New Roman" w:eastAsia="宋体" w:cs="Times New Roman"/>
                <w:b/>
                <w:bCs/>
                <w:i w:val="0"/>
                <w:iCs w:val="0"/>
                <w:color w:val="000000"/>
                <w:sz w:val="10"/>
                <w:szCs w:val="10"/>
                <w:u w:val="none"/>
              </w:rPr>
            </w:pP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EBF1DE"/>
            <w:vAlign w:val="center"/>
          </w:tcPr>
          <w:p w14:paraId="431759B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48</w:t>
            </w: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00C52E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3A57C9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-2.9</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922A2B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-1.58</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D8DB61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-1.09</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AD138A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-0.09</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4ADDB4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-3.28</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A839B0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-1.76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ACF356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-1.25</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9A54E4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-0.16</w:t>
            </w: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BFFCC6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3.9</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E9274C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3.9</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2F0C61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1.5</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22047A6">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41B6AF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-1.32</w:t>
            </w: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8FA18A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0.58</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39DE39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-0.28</w:t>
            </w: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CF7D3D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0.71</w:t>
            </w:r>
          </w:p>
        </w:tc>
      </w:tr>
      <w:tr w14:paraId="0BD68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1A2BC1">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163BE0">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14:paraId="505853CC">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BA6392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BDFD74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-2.68</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2C3B92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-1.77</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8ABB5F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-0.96</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0EACE8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-0.23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411DE9E">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5C21E8D">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B47312D">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0448AEF">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C851E7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3.6</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2AAB38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3.6</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04A4EA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1.4</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B981ACA">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B6B44E9">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848E8CA">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195874F">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B106E35">
            <w:pPr>
              <w:jc w:val="center"/>
              <w:rPr>
                <w:rFonts w:hint="default" w:ascii="Times New Roman" w:hAnsi="Times New Roman" w:eastAsia="宋体" w:cs="Times New Roman"/>
                <w:i w:val="0"/>
                <w:iCs w:val="0"/>
                <w:color w:val="000000"/>
                <w:sz w:val="10"/>
                <w:szCs w:val="10"/>
                <w:u w:val="none"/>
              </w:rPr>
            </w:pPr>
          </w:p>
        </w:tc>
      </w:tr>
      <w:tr w14:paraId="10FFF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A75A2B">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13BF63">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14:paraId="5827E407">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CE9DD5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0380FC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-2.61</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545E90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-1.85</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BF7BBB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-0.89</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771D86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77235B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-3.05</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6C41A7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-2.18</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AF72A6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-1.13</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3875EDD">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w:t>
            </w: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BAA126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3.4</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6EBFD1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3.4</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DDED8A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1.3</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5148B1F">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3183EAB">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26742E4">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17E8299">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4646B64">
            <w:pPr>
              <w:jc w:val="center"/>
              <w:rPr>
                <w:rFonts w:hint="default" w:ascii="Times New Roman" w:hAnsi="Times New Roman" w:eastAsia="宋体" w:cs="Times New Roman"/>
                <w:i w:val="0"/>
                <w:iCs w:val="0"/>
                <w:color w:val="000000"/>
                <w:sz w:val="10"/>
                <w:szCs w:val="10"/>
                <w:u w:val="none"/>
              </w:rPr>
            </w:pPr>
          </w:p>
        </w:tc>
      </w:tr>
      <w:tr w14:paraId="1D0547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5A82E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FR2</w:t>
            </w:r>
          </w:p>
        </w:tc>
        <w:tc>
          <w:tcPr>
            <w:tcW w:w="4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18570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60</w:t>
            </w: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432E7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24</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558F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5E6C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-2.36</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F775D">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-0.66</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06F2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-0.71</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C763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986FF">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C89CC">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1286F">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74949">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FAE3B">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BEC01">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2F61B">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1FFDC">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792B8">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21D1E">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B0728">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5B0F0">
            <w:pPr>
              <w:jc w:val="center"/>
              <w:rPr>
                <w:rFonts w:hint="default" w:ascii="Times New Roman" w:hAnsi="Times New Roman" w:eastAsia="宋体" w:cs="Times New Roman"/>
                <w:i w:val="0"/>
                <w:iCs w:val="0"/>
                <w:color w:val="000000"/>
                <w:sz w:val="10"/>
                <w:szCs w:val="10"/>
                <w:u w:val="none"/>
              </w:rPr>
            </w:pPr>
          </w:p>
        </w:tc>
      </w:tr>
      <w:tr w14:paraId="3A3548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56485F">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A0A8A4">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E2DF13">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D55A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EA69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-2.07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0C9C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-0.93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350BD">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8267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0.43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B3283">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28967">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CB25C">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3180E">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C842B">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FC94A">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72159">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FB4ED">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3F3C0">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580F1">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01067">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9BBEB">
            <w:pPr>
              <w:jc w:val="center"/>
              <w:rPr>
                <w:rFonts w:hint="default" w:ascii="Times New Roman" w:hAnsi="Times New Roman" w:eastAsia="宋体" w:cs="Times New Roman"/>
                <w:i w:val="0"/>
                <w:iCs w:val="0"/>
                <w:color w:val="000000"/>
                <w:sz w:val="10"/>
                <w:szCs w:val="10"/>
                <w:u w:val="none"/>
              </w:rPr>
            </w:pPr>
          </w:p>
        </w:tc>
      </w:tr>
      <w:tr w14:paraId="72A99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151C08">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685506">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F2C78D">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3C9E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F8BD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-1.98</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C7BE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-1.04</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3039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-0.44</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9DA6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0.36</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FF3C0">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8AEEC">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F96CB">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BB647">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3FC4C">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E1CFD">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320BB">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F346D">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1CEDC">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57E11">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2DB27">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8728C">
            <w:pPr>
              <w:jc w:val="center"/>
              <w:rPr>
                <w:rFonts w:hint="default" w:ascii="Times New Roman" w:hAnsi="Times New Roman" w:eastAsia="宋体" w:cs="Times New Roman"/>
                <w:i w:val="0"/>
                <w:iCs w:val="0"/>
                <w:color w:val="000000"/>
                <w:sz w:val="10"/>
                <w:szCs w:val="10"/>
                <w:u w:val="none"/>
              </w:rPr>
            </w:pPr>
          </w:p>
        </w:tc>
      </w:tr>
      <w:tr w14:paraId="2CE23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A4C200">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1217C8">
            <w:pPr>
              <w:jc w:val="center"/>
              <w:rPr>
                <w:rFonts w:hint="default" w:ascii="Times New Roman" w:hAnsi="Times New Roman" w:eastAsia="宋体" w:cs="Times New Roman"/>
                <w:b/>
                <w:bCs/>
                <w:i w:val="0"/>
                <w:iCs w:val="0"/>
                <w:color w:val="000000"/>
                <w:sz w:val="10"/>
                <w:szCs w:val="10"/>
                <w:u w:val="none"/>
              </w:rPr>
            </w:pP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EBF1DE"/>
            <w:vAlign w:val="center"/>
          </w:tcPr>
          <w:p w14:paraId="5C6113C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48</w:t>
            </w: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EA1833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021B34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-2.21</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4FB0FA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-1.04</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606D45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4E526D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0.38</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113B6D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-2.59</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AE1125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30831B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C2FB7D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w:t>
            </w: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AB3994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3.1</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240F58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3.1</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0B9F25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0.9</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CBC5EDF">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347F70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-0.93</w:t>
            </w: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332D74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07C66D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-0.02</w:t>
            </w: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D1BB48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0.74</w:t>
            </w:r>
          </w:p>
        </w:tc>
      </w:tr>
      <w:tr w14:paraId="2C057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E738CF">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05414D">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14:paraId="5AC4E352">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C3816F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17C6763">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-2.04</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3AECC3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80229A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-0.47</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536254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0.23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7A36F2B">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225FA8F">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C0B07EE">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9BCDAEA">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C81E1D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2.7</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23B9A9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2.7</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EA9B77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BCAC94D">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C6992D8">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D14348D">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9ECC5FC">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4D201E0">
            <w:pPr>
              <w:jc w:val="center"/>
              <w:rPr>
                <w:rFonts w:hint="default" w:ascii="Times New Roman" w:hAnsi="Times New Roman" w:eastAsia="宋体" w:cs="Times New Roman"/>
                <w:i w:val="0"/>
                <w:iCs w:val="0"/>
                <w:color w:val="000000"/>
                <w:sz w:val="10"/>
                <w:szCs w:val="10"/>
                <w:u w:val="none"/>
              </w:rPr>
            </w:pPr>
          </w:p>
        </w:tc>
      </w:tr>
      <w:tr w14:paraId="2F038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CD7283">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382AA8">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14:paraId="53922822">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4A325D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449F91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-1.97</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F040F7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-1.27</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B92213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-0.39</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61386F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0.18</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E877AB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-2.33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7F9ADD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-1.56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0EA9D5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-0.56</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612BF7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0.02</w:t>
            </w: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9814D7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2.6</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D535E9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2.6</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5F00FE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6AF3E59">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AAD06CD">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DF21156">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4A9E863">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5FCC9DB">
            <w:pPr>
              <w:jc w:val="center"/>
              <w:rPr>
                <w:rFonts w:hint="default" w:ascii="Times New Roman" w:hAnsi="Times New Roman" w:eastAsia="宋体" w:cs="Times New Roman"/>
                <w:i w:val="0"/>
                <w:iCs w:val="0"/>
                <w:color w:val="000000"/>
                <w:sz w:val="10"/>
                <w:szCs w:val="10"/>
                <w:u w:val="none"/>
              </w:rPr>
            </w:pPr>
          </w:p>
        </w:tc>
      </w:tr>
      <w:tr w14:paraId="3519E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84D4DF">
            <w:pPr>
              <w:jc w:val="center"/>
              <w:rPr>
                <w:rFonts w:hint="default" w:ascii="Times New Roman" w:hAnsi="Times New Roman" w:eastAsia="宋体" w:cs="Times New Roman"/>
                <w:b/>
                <w:bCs/>
                <w:i w:val="0"/>
                <w:iCs w:val="0"/>
                <w:color w:val="000000"/>
                <w:sz w:val="10"/>
                <w:szCs w:val="10"/>
                <w:u w:val="none"/>
              </w:rPr>
            </w:pPr>
          </w:p>
        </w:tc>
        <w:tc>
          <w:tcPr>
            <w:tcW w:w="4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A0BEB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120</w:t>
            </w: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09FB8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24</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B4B0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7694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-5.58</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5A95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-3.12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5BB4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-1.07</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46B2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0.35</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49553">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29211">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808BD">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AA69F">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605F1">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09F86">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4313C">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486C2">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81257">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FB804">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347F1">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EB0B6">
            <w:pPr>
              <w:jc w:val="center"/>
              <w:rPr>
                <w:rFonts w:hint="default" w:ascii="Times New Roman" w:hAnsi="Times New Roman" w:eastAsia="宋体" w:cs="Times New Roman"/>
                <w:i w:val="0"/>
                <w:iCs w:val="0"/>
                <w:color w:val="000000"/>
                <w:sz w:val="10"/>
                <w:szCs w:val="10"/>
                <w:u w:val="none"/>
              </w:rPr>
            </w:pPr>
          </w:p>
        </w:tc>
      </w:tr>
      <w:tr w14:paraId="685B8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31BD5D">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8D1FFA">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8F9803">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B152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DBA1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-5.22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DB57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-3.48</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0AAF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-0.86</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E193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0.16</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A074D">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207B1">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7A291">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90561">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5148C">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6FA8A">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A5384">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76A43">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F9280">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53037">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3500D">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D8AE0">
            <w:pPr>
              <w:jc w:val="center"/>
              <w:rPr>
                <w:rFonts w:hint="default" w:ascii="Times New Roman" w:hAnsi="Times New Roman" w:eastAsia="宋体" w:cs="Times New Roman"/>
                <w:i w:val="0"/>
                <w:iCs w:val="0"/>
                <w:color w:val="000000"/>
                <w:sz w:val="10"/>
                <w:szCs w:val="10"/>
                <w:u w:val="none"/>
              </w:rPr>
            </w:pPr>
          </w:p>
        </w:tc>
      </w:tr>
      <w:tr w14:paraId="20BD6B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22AED6">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1AE645">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2AF85F">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415D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A830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-5.06</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9951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-3.62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15F9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-0.76</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200A5">
            <w:pPr>
              <w:keepNext w:val="0"/>
              <w:keepLines w:val="0"/>
              <w:widowControl/>
              <w:suppressLineNumbers w:val="0"/>
              <w:jc w:val="right"/>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AEDB7">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B3480">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68D88">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28EFE">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39C52">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4DF3F">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A7376">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56F73">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E7B8A">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2D23E">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A458F">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F9DCE">
            <w:pPr>
              <w:jc w:val="center"/>
              <w:rPr>
                <w:rFonts w:hint="default" w:ascii="Times New Roman" w:hAnsi="Times New Roman" w:eastAsia="宋体" w:cs="Times New Roman"/>
                <w:i w:val="0"/>
                <w:iCs w:val="0"/>
                <w:color w:val="000000"/>
                <w:sz w:val="10"/>
                <w:szCs w:val="10"/>
                <w:u w:val="none"/>
              </w:rPr>
            </w:pPr>
          </w:p>
        </w:tc>
      </w:tr>
      <w:tr w14:paraId="2A7DF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729D7C">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A2C1E1">
            <w:pPr>
              <w:jc w:val="center"/>
              <w:rPr>
                <w:rFonts w:hint="default" w:ascii="Times New Roman" w:hAnsi="Times New Roman" w:eastAsia="宋体" w:cs="Times New Roman"/>
                <w:b/>
                <w:bCs/>
                <w:i w:val="0"/>
                <w:iCs w:val="0"/>
                <w:color w:val="000000"/>
                <w:sz w:val="10"/>
                <w:szCs w:val="10"/>
                <w:u w:val="none"/>
              </w:rPr>
            </w:pP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EBF1DE"/>
            <w:vAlign w:val="center"/>
          </w:tcPr>
          <w:p w14:paraId="20DCFC9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48</w:t>
            </w: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3AEB66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C612E5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-5.37</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D987E9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-3.56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7B2A20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-0.93</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C37D25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0.09</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F455BB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-6.01</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540242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DB8348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-1.05</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779EDD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-0.05</w:t>
            </w: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17E4FE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6.8</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D27A7B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6.8</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0506E4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1.3</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3033DF9">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9424EA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-2.71</w:t>
            </w: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181379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B6CCB1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-0.2</w:t>
            </w: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A305FD3">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0.73</w:t>
            </w:r>
          </w:p>
        </w:tc>
      </w:tr>
      <w:tr w14:paraId="69D323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CE8EFA">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18C17A">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14:paraId="35F49214">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1CC45F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53F195D">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-5.07</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0592733">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-3.82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8D4CE3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-0.77</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66CDF4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-0.07</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10DB656">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DCDB713">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E9BCCDC">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6527419">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C09A1E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6.2</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9832EB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6.2</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1D6CCB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1.1</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DD1F039">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FD67A93">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BF52C00">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9692487">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EF5B049">
            <w:pPr>
              <w:jc w:val="center"/>
              <w:rPr>
                <w:rFonts w:hint="default" w:ascii="Times New Roman" w:hAnsi="Times New Roman" w:eastAsia="宋体" w:cs="Times New Roman"/>
                <w:i w:val="0"/>
                <w:iCs w:val="0"/>
                <w:color w:val="000000"/>
                <w:sz w:val="10"/>
                <w:szCs w:val="10"/>
                <w:u w:val="none"/>
              </w:rPr>
            </w:pPr>
          </w:p>
        </w:tc>
      </w:tr>
      <w:tr w14:paraId="76B7E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960314">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CEA317">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14:paraId="0B80AB34">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668E4F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8E7B48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-4.96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076D4F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-3.92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90F4A0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-0.73</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FFE63D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-0.15</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1D0103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-5.56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C6EA63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-4.18</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0386CB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-0.92</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E1FCBD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w:t>
            </w: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AE2A13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6</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AFDFF6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6</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1AF5D4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535FE74">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57555B0">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FAD2AF2">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BEEC1FE">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39DC946">
            <w:pPr>
              <w:jc w:val="center"/>
              <w:rPr>
                <w:rFonts w:hint="default" w:ascii="Times New Roman" w:hAnsi="Times New Roman" w:eastAsia="宋体" w:cs="Times New Roman"/>
                <w:i w:val="0"/>
                <w:iCs w:val="0"/>
                <w:color w:val="000000"/>
                <w:sz w:val="10"/>
                <w:szCs w:val="10"/>
                <w:u w:val="none"/>
              </w:rPr>
            </w:pPr>
          </w:p>
        </w:tc>
      </w:tr>
    </w:tbl>
    <w:p w14:paraId="2F172F8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3E10A3A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As for how to define L1-SRS-RSRP measurement requirements, one possible way is to define requirements for case 1 (</w:t>
      </w:r>
      <w:r>
        <w:rPr>
          <w:rFonts w:hint="eastAsia" w:ascii="Times New Roman" w:hAnsi="Times New Roman" w:eastAsia="微软雅黑" w:cs="Times New Roman"/>
          <w:sz w:val="20"/>
          <w:szCs w:val="20"/>
          <w:lang w:val="en-US" w:eastAsia="zh-CN"/>
        </w:rPr>
        <w:t>i</w:t>
      </w:r>
      <w:r>
        <w:rPr>
          <w:rFonts w:ascii="Times New Roman" w:hAnsi="Times New Roman" w:eastAsia="Times New Roman"/>
          <w:color w:val="000000"/>
          <w:sz w:val="20"/>
          <w:szCs w:val="20"/>
          <w:lang w:eastAsia="en-GB"/>
        </w:rPr>
        <w:t xml:space="preserve">nter-cell </w:t>
      </w:r>
      <w:r>
        <w:rPr>
          <w:rFonts w:hint="eastAsia" w:ascii="Times New Roman" w:hAnsi="Times New Roman"/>
          <w:color w:val="000000"/>
          <w:sz w:val="20"/>
          <w:szCs w:val="20"/>
          <w:lang w:val="en-US" w:eastAsia="zh-CN"/>
        </w:rPr>
        <w:t>scenario</w:t>
      </w:r>
      <w:r>
        <w:rPr>
          <w:rFonts w:hint="eastAsia" w:ascii="Times New Roman" w:hAnsi="Times New Roman"/>
          <w:sz w:val="20"/>
          <w:szCs w:val="20"/>
          <w:lang w:val="en-US" w:eastAsia="zh-CN"/>
        </w:rPr>
        <w:t>) and case 2 (</w:t>
      </w:r>
      <w:r>
        <w:rPr>
          <w:rFonts w:hint="eastAsia" w:ascii="Times New Roman" w:hAnsi="Times New Roman" w:eastAsia="微软雅黑" w:cs="Times New Roman"/>
          <w:sz w:val="20"/>
          <w:szCs w:val="20"/>
          <w:lang w:val="en-US" w:eastAsia="zh-CN"/>
        </w:rPr>
        <w:t>i</w:t>
      </w:r>
      <w:r>
        <w:rPr>
          <w:rFonts w:ascii="Times New Roman" w:hAnsi="Times New Roman" w:eastAsia="Times New Roman"/>
          <w:color w:val="000000"/>
          <w:sz w:val="20"/>
          <w:szCs w:val="20"/>
          <w:lang w:eastAsia="en-GB"/>
        </w:rPr>
        <w:t>nt</w:t>
      </w:r>
      <w:r>
        <w:rPr>
          <w:rFonts w:hint="eastAsia" w:ascii="Times New Roman" w:hAnsi="Times New Roman"/>
          <w:color w:val="000000"/>
          <w:sz w:val="20"/>
          <w:szCs w:val="20"/>
          <w:lang w:val="en-US" w:eastAsia="zh-CN"/>
        </w:rPr>
        <w:t>ra</w:t>
      </w:r>
      <w:r>
        <w:rPr>
          <w:rFonts w:ascii="Times New Roman" w:hAnsi="Times New Roman" w:eastAsia="Times New Roman"/>
          <w:color w:val="000000"/>
          <w:sz w:val="20"/>
          <w:szCs w:val="20"/>
          <w:lang w:eastAsia="en-GB"/>
        </w:rPr>
        <w:t xml:space="preserve">-cell </w:t>
      </w:r>
      <w:r>
        <w:rPr>
          <w:rFonts w:hint="eastAsia" w:ascii="Times New Roman" w:hAnsi="Times New Roman"/>
          <w:color w:val="000000"/>
          <w:sz w:val="20"/>
          <w:szCs w:val="20"/>
          <w:lang w:val="en-US" w:eastAsia="zh-CN"/>
        </w:rPr>
        <w:t>scenario</w:t>
      </w:r>
      <w:r>
        <w:rPr>
          <w:rFonts w:hint="eastAsia" w:ascii="Times New Roman" w:hAnsi="Times New Roman"/>
          <w:sz w:val="20"/>
          <w:szCs w:val="20"/>
          <w:lang w:val="en-US" w:eastAsia="zh-CN"/>
        </w:rPr>
        <w:t>) seperately. UE can determine which set of requirements is in use based on the received timing difference. Similar situation exits for CSI-SINR measurement accuracy. Following is the duplication of CSI-SINR inter frequency absolute accuracy. As highlighted in blue, for different timing offset between the reference measurement timing and the target CSI-RS, the upper bound of applied side condition is different, which means for CSI-SINR measurement accuracy, UE apply different requirements based on different received timing difference. Similar approach can be used to define L1-SRS-RSRP measurement accuracy requirements.</w:t>
      </w:r>
    </w:p>
    <w:p w14:paraId="518A94F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Observation 1: for Rel-16 CSI-SINR, two sets of measurement accuracy requirements are defined, And UE determine which set of requirements is in use based on the received timing difference.    </w:t>
      </w:r>
    </w:p>
    <w:p w14:paraId="0866C704">
      <w:pPr>
        <w:pStyle w:val="13"/>
        <w:rPr>
          <w:rFonts w:hint="default"/>
          <w:lang w:val="en-US" w:eastAsia="zh-CN"/>
        </w:rPr>
      </w:pPr>
      <w:r>
        <w:t xml:space="preserve">Table </w:t>
      </w:r>
      <w:r>
        <w:rPr>
          <w:lang w:eastAsia="zh-CN"/>
        </w:rPr>
        <w:t>10.1.14.2.1</w:t>
      </w:r>
      <w:r>
        <w:t xml:space="preserve">-1: </w:t>
      </w:r>
      <w:r>
        <w:rPr>
          <w:lang w:eastAsia="zh-CN"/>
        </w:rPr>
        <w:t>CSI-SINR</w:t>
      </w:r>
      <w:r>
        <w:t xml:space="preserve"> Inter frequency absolute accuracy</w:t>
      </w:r>
      <w:r>
        <w:rPr>
          <w:lang w:eastAsia="zh-CN"/>
        </w:rPr>
        <w:t xml:space="preserve"> in FR1</w:t>
      </w:r>
      <w:r>
        <w:rPr>
          <w:rFonts w:hint="eastAsia"/>
          <w:lang w:val="en-US" w:eastAsia="zh-CN"/>
        </w:rPr>
        <w:t xml:space="preserve"> (TS38.133)</w:t>
      </w:r>
    </w:p>
    <w:tbl>
      <w:tblPr>
        <w:tblStyle w:val="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026"/>
        <w:gridCol w:w="1026"/>
        <w:gridCol w:w="827"/>
        <w:gridCol w:w="1871"/>
        <w:gridCol w:w="803"/>
        <w:gridCol w:w="793"/>
        <w:gridCol w:w="806"/>
        <w:gridCol w:w="1131"/>
        <w:gridCol w:w="1048"/>
      </w:tblGrid>
      <w:tr w14:paraId="41793F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gridSpan w:val="2"/>
            <w:shd w:val="clear" w:color="auto" w:fill="auto"/>
            <w:vAlign w:val="center"/>
          </w:tcPr>
          <w:p w14:paraId="69EDA377">
            <w:pPr>
              <w:pStyle w:val="14"/>
            </w:pPr>
            <w:r>
              <w:t>Accuracy</w:t>
            </w:r>
          </w:p>
        </w:tc>
        <w:tc>
          <w:tcPr>
            <w:tcW w:w="0" w:type="auto"/>
            <w:gridSpan w:val="7"/>
            <w:shd w:val="clear" w:color="auto" w:fill="auto"/>
            <w:vAlign w:val="center"/>
          </w:tcPr>
          <w:p w14:paraId="5CA50337">
            <w:pPr>
              <w:pStyle w:val="14"/>
            </w:pPr>
            <w:r>
              <w:t>Conditions</w:t>
            </w:r>
          </w:p>
        </w:tc>
      </w:tr>
      <w:tr w14:paraId="18BE1C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63956279">
            <w:pPr>
              <w:pStyle w:val="14"/>
            </w:pPr>
            <w:r>
              <w:t>Normal condition</w:t>
            </w:r>
          </w:p>
        </w:tc>
        <w:tc>
          <w:tcPr>
            <w:tcW w:w="0" w:type="auto"/>
            <w:vMerge w:val="restart"/>
            <w:shd w:val="clear" w:color="auto" w:fill="auto"/>
            <w:vAlign w:val="center"/>
          </w:tcPr>
          <w:p w14:paraId="74EFA8D3">
            <w:pPr>
              <w:pStyle w:val="14"/>
            </w:pPr>
            <w:r>
              <w:t>Extreme condition</w:t>
            </w:r>
          </w:p>
        </w:tc>
        <w:tc>
          <w:tcPr>
            <w:tcW w:w="0" w:type="auto"/>
            <w:vMerge w:val="restart"/>
            <w:shd w:val="clear" w:color="auto" w:fill="auto"/>
            <w:vAlign w:val="center"/>
          </w:tcPr>
          <w:p w14:paraId="292CA3EF">
            <w:pPr>
              <w:pStyle w:val="14"/>
            </w:pPr>
            <w:r>
              <w:t>CSI-RS Ês/Iot</w:t>
            </w:r>
          </w:p>
        </w:tc>
        <w:tc>
          <w:tcPr>
            <w:tcW w:w="0" w:type="auto"/>
            <w:gridSpan w:val="6"/>
            <w:shd w:val="clear" w:color="auto" w:fill="auto"/>
            <w:vAlign w:val="center"/>
          </w:tcPr>
          <w:p w14:paraId="3099D647">
            <w:pPr>
              <w:pStyle w:val="14"/>
            </w:pPr>
            <w:r>
              <w:t>Io</w:t>
            </w:r>
            <w:r>
              <w:rPr>
                <w:vertAlign w:val="superscript"/>
              </w:rPr>
              <w:t xml:space="preserve"> Note 1</w:t>
            </w:r>
            <w:r>
              <w:t xml:space="preserve"> range</w:t>
            </w:r>
          </w:p>
        </w:tc>
      </w:tr>
      <w:tr w14:paraId="269BAB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50485DF8">
            <w:pPr>
              <w:pStyle w:val="14"/>
            </w:pPr>
          </w:p>
        </w:tc>
        <w:tc>
          <w:tcPr>
            <w:tcW w:w="0" w:type="auto"/>
            <w:vMerge w:val="continue"/>
            <w:shd w:val="clear" w:color="auto" w:fill="auto"/>
            <w:vAlign w:val="center"/>
          </w:tcPr>
          <w:p w14:paraId="0349D51B">
            <w:pPr>
              <w:pStyle w:val="14"/>
            </w:pPr>
          </w:p>
        </w:tc>
        <w:tc>
          <w:tcPr>
            <w:tcW w:w="0" w:type="auto"/>
            <w:vMerge w:val="continue"/>
            <w:shd w:val="clear" w:color="auto" w:fill="auto"/>
            <w:vAlign w:val="center"/>
          </w:tcPr>
          <w:p w14:paraId="42811066">
            <w:pPr>
              <w:pStyle w:val="14"/>
            </w:pPr>
          </w:p>
        </w:tc>
        <w:tc>
          <w:tcPr>
            <w:tcW w:w="2008" w:type="dxa"/>
            <w:shd w:val="clear" w:color="auto" w:fill="auto"/>
            <w:vAlign w:val="center"/>
          </w:tcPr>
          <w:p w14:paraId="6C5EFD9C">
            <w:pPr>
              <w:pStyle w:val="14"/>
            </w:pPr>
            <w:r>
              <w:t>NR operating band groups</w:t>
            </w:r>
            <w:r>
              <w:rPr>
                <w:vertAlign w:val="superscript"/>
              </w:rPr>
              <w:t xml:space="preserve"> </w:t>
            </w:r>
          </w:p>
        </w:tc>
        <w:tc>
          <w:tcPr>
            <w:tcW w:w="3809" w:type="dxa"/>
            <w:gridSpan w:val="4"/>
            <w:shd w:val="clear" w:color="auto" w:fill="auto"/>
            <w:vAlign w:val="center"/>
          </w:tcPr>
          <w:p w14:paraId="13343160">
            <w:pPr>
              <w:pStyle w:val="14"/>
            </w:pPr>
            <w:r>
              <w:t>Minimum Io</w:t>
            </w:r>
          </w:p>
        </w:tc>
        <w:tc>
          <w:tcPr>
            <w:tcW w:w="0" w:type="auto"/>
            <w:shd w:val="clear" w:color="auto" w:fill="auto"/>
            <w:vAlign w:val="center"/>
          </w:tcPr>
          <w:p w14:paraId="5456F256">
            <w:pPr>
              <w:pStyle w:val="14"/>
            </w:pPr>
            <w:r>
              <w:t>Maximum Io</w:t>
            </w:r>
          </w:p>
        </w:tc>
      </w:tr>
      <w:tr w14:paraId="499E86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20" w:hRule="atLeast"/>
          <w:jc w:val="center"/>
        </w:trPr>
        <w:tc>
          <w:tcPr>
            <w:tcW w:w="0" w:type="auto"/>
            <w:vMerge w:val="restart"/>
            <w:shd w:val="clear" w:color="auto" w:fill="auto"/>
            <w:vAlign w:val="center"/>
          </w:tcPr>
          <w:p w14:paraId="3D0F3AAC">
            <w:pPr>
              <w:pStyle w:val="14"/>
              <w:rPr>
                <w:lang w:eastAsia="zh-CN"/>
              </w:rPr>
            </w:pPr>
            <w:r>
              <w:t>dB</w:t>
            </w:r>
          </w:p>
        </w:tc>
        <w:tc>
          <w:tcPr>
            <w:tcW w:w="0" w:type="auto"/>
            <w:vMerge w:val="restart"/>
            <w:shd w:val="clear" w:color="auto" w:fill="auto"/>
            <w:vAlign w:val="center"/>
          </w:tcPr>
          <w:p w14:paraId="0C4AA4EA">
            <w:pPr>
              <w:pStyle w:val="14"/>
              <w:rPr>
                <w:lang w:eastAsia="zh-CN"/>
              </w:rPr>
            </w:pPr>
            <w:r>
              <w:t>dB</w:t>
            </w:r>
          </w:p>
        </w:tc>
        <w:tc>
          <w:tcPr>
            <w:tcW w:w="0" w:type="auto"/>
            <w:vMerge w:val="restart"/>
            <w:shd w:val="clear" w:color="auto" w:fill="auto"/>
            <w:vAlign w:val="center"/>
          </w:tcPr>
          <w:p w14:paraId="26A562FA">
            <w:pPr>
              <w:pStyle w:val="14"/>
            </w:pPr>
            <w:r>
              <w:t>dB</w:t>
            </w:r>
          </w:p>
        </w:tc>
        <w:tc>
          <w:tcPr>
            <w:tcW w:w="2008" w:type="dxa"/>
            <w:vMerge w:val="restart"/>
            <w:shd w:val="clear" w:color="auto" w:fill="auto"/>
            <w:vAlign w:val="center"/>
          </w:tcPr>
          <w:p w14:paraId="31D2CC9D">
            <w:pPr>
              <w:pStyle w:val="14"/>
            </w:pPr>
          </w:p>
        </w:tc>
        <w:tc>
          <w:tcPr>
            <w:tcW w:w="2432" w:type="dxa"/>
            <w:gridSpan w:val="3"/>
            <w:shd w:val="clear" w:color="auto" w:fill="auto"/>
            <w:vAlign w:val="center"/>
          </w:tcPr>
          <w:p w14:paraId="7F007AEC">
            <w:pPr>
              <w:pStyle w:val="14"/>
            </w:pPr>
            <w:r>
              <w:rPr>
                <w:rFonts w:cs="Arial"/>
              </w:rPr>
              <w:t xml:space="preserve">dBm / </w:t>
            </w:r>
            <w:r>
              <w:t>SCS</w:t>
            </w:r>
          </w:p>
        </w:tc>
        <w:tc>
          <w:tcPr>
            <w:tcW w:w="0" w:type="auto"/>
            <w:vMerge w:val="restart"/>
            <w:shd w:val="clear" w:color="auto" w:fill="auto"/>
            <w:vAlign w:val="center"/>
          </w:tcPr>
          <w:p w14:paraId="5078B269">
            <w:pPr>
              <w:pStyle w:val="14"/>
            </w:pPr>
            <w:r>
              <w:t xml:space="preserve">dBm/BW </w:t>
            </w:r>
            <w:r>
              <w:rPr>
                <w:vertAlign w:val="subscript"/>
              </w:rPr>
              <w:t>Channel</w:t>
            </w:r>
          </w:p>
        </w:tc>
        <w:tc>
          <w:tcPr>
            <w:tcW w:w="0" w:type="auto"/>
            <w:vMerge w:val="restart"/>
            <w:shd w:val="clear" w:color="auto" w:fill="auto"/>
            <w:vAlign w:val="center"/>
          </w:tcPr>
          <w:p w14:paraId="41613798">
            <w:pPr>
              <w:pStyle w:val="14"/>
            </w:pPr>
            <w:r>
              <w:t xml:space="preserve">dBm/BW </w:t>
            </w:r>
            <w:r>
              <w:rPr>
                <w:vertAlign w:val="subscript"/>
              </w:rPr>
              <w:t>Channel</w:t>
            </w:r>
          </w:p>
        </w:tc>
      </w:tr>
      <w:tr w14:paraId="0142BD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 w:hRule="atLeast"/>
          <w:jc w:val="center"/>
        </w:trPr>
        <w:tc>
          <w:tcPr>
            <w:tcW w:w="0" w:type="auto"/>
            <w:vMerge w:val="continue"/>
            <w:shd w:val="clear" w:color="auto" w:fill="auto"/>
            <w:vAlign w:val="center"/>
          </w:tcPr>
          <w:p w14:paraId="61A281FA">
            <w:pPr>
              <w:pStyle w:val="14"/>
            </w:pPr>
          </w:p>
        </w:tc>
        <w:tc>
          <w:tcPr>
            <w:tcW w:w="0" w:type="auto"/>
            <w:vMerge w:val="continue"/>
            <w:shd w:val="clear" w:color="auto" w:fill="auto"/>
            <w:vAlign w:val="center"/>
          </w:tcPr>
          <w:p w14:paraId="326144D0">
            <w:pPr>
              <w:pStyle w:val="14"/>
            </w:pPr>
          </w:p>
        </w:tc>
        <w:tc>
          <w:tcPr>
            <w:tcW w:w="0" w:type="auto"/>
            <w:vMerge w:val="continue"/>
            <w:shd w:val="clear" w:color="auto" w:fill="auto"/>
            <w:vAlign w:val="center"/>
          </w:tcPr>
          <w:p w14:paraId="5899B61A">
            <w:pPr>
              <w:pStyle w:val="14"/>
            </w:pPr>
          </w:p>
        </w:tc>
        <w:tc>
          <w:tcPr>
            <w:tcW w:w="2008" w:type="dxa"/>
            <w:vMerge w:val="continue"/>
            <w:shd w:val="clear" w:color="auto" w:fill="auto"/>
            <w:vAlign w:val="center"/>
          </w:tcPr>
          <w:p w14:paraId="1BEBFBC8">
            <w:pPr>
              <w:pStyle w:val="14"/>
            </w:pPr>
          </w:p>
        </w:tc>
        <w:tc>
          <w:tcPr>
            <w:tcW w:w="2432" w:type="dxa"/>
            <w:gridSpan w:val="3"/>
            <w:shd w:val="clear" w:color="auto" w:fill="auto"/>
            <w:vAlign w:val="center"/>
          </w:tcPr>
          <w:p w14:paraId="4726F68E">
            <w:pPr>
              <w:pStyle w:val="14"/>
              <w:rPr>
                <w:rFonts w:cs="Arial"/>
              </w:rPr>
            </w:pPr>
            <w:r>
              <w:t>SCS (kHz)</w:t>
            </w:r>
          </w:p>
        </w:tc>
        <w:tc>
          <w:tcPr>
            <w:tcW w:w="0" w:type="auto"/>
            <w:vMerge w:val="continue"/>
            <w:shd w:val="clear" w:color="auto" w:fill="auto"/>
            <w:vAlign w:val="center"/>
          </w:tcPr>
          <w:p w14:paraId="3CCD89B1">
            <w:pPr>
              <w:pStyle w:val="14"/>
            </w:pPr>
          </w:p>
        </w:tc>
        <w:tc>
          <w:tcPr>
            <w:tcW w:w="0" w:type="auto"/>
            <w:vMerge w:val="continue"/>
            <w:shd w:val="clear" w:color="auto" w:fill="auto"/>
            <w:vAlign w:val="center"/>
          </w:tcPr>
          <w:p w14:paraId="3428188E">
            <w:pPr>
              <w:pStyle w:val="14"/>
            </w:pPr>
          </w:p>
        </w:tc>
      </w:tr>
      <w:tr w14:paraId="5A96C4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5" w:hRule="atLeast"/>
          <w:jc w:val="center"/>
        </w:trPr>
        <w:tc>
          <w:tcPr>
            <w:tcW w:w="0" w:type="auto"/>
            <w:vMerge w:val="restart"/>
            <w:shd w:val="clear" w:color="auto" w:fill="auto"/>
            <w:vAlign w:val="center"/>
          </w:tcPr>
          <w:p w14:paraId="786BCC81">
            <w:pPr>
              <w:pStyle w:val="15"/>
              <w:rPr>
                <w:lang w:eastAsia="zh-CN"/>
              </w:rPr>
            </w:pPr>
            <w:r>
              <w:rPr>
                <w:lang w:eastAsia="zh-CN"/>
              </w:rPr>
              <w:sym w:font="Symbol" w:char="F0B1"/>
            </w:r>
            <w:r>
              <w:rPr>
                <w:lang w:eastAsia="zh-CN"/>
              </w:rPr>
              <w:t>3</w:t>
            </w:r>
          </w:p>
        </w:tc>
        <w:tc>
          <w:tcPr>
            <w:tcW w:w="0" w:type="auto"/>
            <w:vMerge w:val="restart"/>
            <w:shd w:val="clear" w:color="auto" w:fill="auto"/>
            <w:vAlign w:val="center"/>
          </w:tcPr>
          <w:p w14:paraId="5A91733D">
            <w:pPr>
              <w:pStyle w:val="15"/>
              <w:rPr>
                <w:b/>
                <w:lang w:eastAsia="zh-CN"/>
              </w:rPr>
            </w:pPr>
            <w:r>
              <w:rPr>
                <w:lang w:eastAsia="zh-CN"/>
              </w:rPr>
              <w:sym w:font="Symbol" w:char="F0B1"/>
            </w:r>
            <w:r>
              <w:rPr>
                <w:lang w:eastAsia="zh-CN"/>
              </w:rPr>
              <w:t>4</w:t>
            </w:r>
          </w:p>
        </w:tc>
        <w:tc>
          <w:tcPr>
            <w:tcW w:w="0" w:type="auto"/>
            <w:vMerge w:val="restart"/>
            <w:shd w:val="clear" w:color="auto" w:fill="auto"/>
            <w:vAlign w:val="center"/>
          </w:tcPr>
          <w:p w14:paraId="18FED2A4">
            <w:pPr>
              <w:pStyle w:val="15"/>
              <w:rPr>
                <w:b/>
              </w:rPr>
            </w:pPr>
            <w:r>
              <w:rPr>
                <w:sz w:val="16"/>
                <w:szCs w:val="16"/>
              </w:rPr>
              <w:sym w:font="Symbol" w:char="F0B3"/>
            </w:r>
            <w:r>
              <w:rPr>
                <w:sz w:val="16"/>
                <w:szCs w:val="16"/>
              </w:rPr>
              <w:t>-3</w:t>
            </w:r>
          </w:p>
        </w:tc>
        <w:tc>
          <w:tcPr>
            <w:tcW w:w="2008" w:type="dxa"/>
            <w:vMerge w:val="continue"/>
            <w:shd w:val="clear" w:color="auto" w:fill="auto"/>
            <w:vAlign w:val="center"/>
          </w:tcPr>
          <w:p w14:paraId="02E38B23">
            <w:pPr>
              <w:keepNext/>
              <w:keepLines/>
              <w:spacing w:after="0"/>
              <w:jc w:val="center"/>
              <w:rPr>
                <w:rFonts w:ascii="Arial" w:hAnsi="Arial"/>
                <w:b/>
                <w:sz w:val="18"/>
              </w:rPr>
            </w:pPr>
          </w:p>
        </w:tc>
        <w:tc>
          <w:tcPr>
            <w:tcW w:w="803" w:type="dxa"/>
            <w:shd w:val="clear" w:color="auto" w:fill="auto"/>
            <w:vAlign w:val="center"/>
          </w:tcPr>
          <w:p w14:paraId="6E5D81F9">
            <w:pPr>
              <w:keepNext/>
              <w:keepLines/>
              <w:spacing w:after="0"/>
              <w:jc w:val="center"/>
              <w:rPr>
                <w:rFonts w:ascii="Arial" w:hAnsi="Arial" w:cs="Arial"/>
                <w:b/>
                <w:sz w:val="18"/>
              </w:rPr>
            </w:pPr>
            <w:r>
              <w:rPr>
                <w:rFonts w:ascii="Arial" w:hAnsi="Arial" w:cs="Arial"/>
                <w:b/>
                <w:sz w:val="18"/>
              </w:rPr>
              <w:t xml:space="preserve">15 </w:t>
            </w:r>
          </w:p>
        </w:tc>
        <w:tc>
          <w:tcPr>
            <w:tcW w:w="814" w:type="dxa"/>
            <w:shd w:val="clear" w:color="auto" w:fill="auto"/>
            <w:vAlign w:val="center"/>
          </w:tcPr>
          <w:p w14:paraId="14501982">
            <w:pPr>
              <w:keepNext/>
              <w:keepLines/>
              <w:spacing w:after="0"/>
              <w:jc w:val="center"/>
              <w:rPr>
                <w:rFonts w:ascii="Arial" w:hAnsi="Arial"/>
                <w:b/>
                <w:sz w:val="18"/>
              </w:rPr>
            </w:pPr>
            <w:r>
              <w:rPr>
                <w:rFonts w:hint="eastAsia" w:ascii="Arial" w:hAnsi="Arial"/>
                <w:b/>
                <w:sz w:val="18"/>
                <w:lang w:eastAsia="zh-CN"/>
              </w:rPr>
              <w:t>3</w:t>
            </w:r>
            <w:r>
              <w:rPr>
                <w:rFonts w:ascii="Arial" w:hAnsi="Arial"/>
                <w:b/>
                <w:sz w:val="18"/>
                <w:lang w:eastAsia="zh-CN"/>
              </w:rPr>
              <w:t>0</w:t>
            </w:r>
          </w:p>
        </w:tc>
        <w:tc>
          <w:tcPr>
            <w:tcW w:w="0" w:type="auto"/>
            <w:shd w:val="clear" w:color="auto" w:fill="auto"/>
            <w:vAlign w:val="center"/>
          </w:tcPr>
          <w:p w14:paraId="5FEF57EE">
            <w:pPr>
              <w:keepNext/>
              <w:keepLines/>
              <w:spacing w:after="0"/>
              <w:jc w:val="center"/>
              <w:rPr>
                <w:rFonts w:ascii="Arial" w:hAnsi="Arial"/>
                <w:b/>
                <w:sz w:val="18"/>
              </w:rPr>
            </w:pPr>
            <w:r>
              <w:rPr>
                <w:rFonts w:hint="eastAsia" w:ascii="Arial" w:hAnsi="Arial"/>
                <w:b/>
                <w:sz w:val="18"/>
                <w:lang w:eastAsia="zh-CN"/>
              </w:rPr>
              <w:t>6</w:t>
            </w:r>
            <w:r>
              <w:rPr>
                <w:rFonts w:ascii="Arial" w:hAnsi="Arial"/>
                <w:b/>
                <w:sz w:val="18"/>
                <w:lang w:eastAsia="zh-CN"/>
              </w:rPr>
              <w:t>0</w:t>
            </w:r>
          </w:p>
        </w:tc>
        <w:tc>
          <w:tcPr>
            <w:tcW w:w="0" w:type="auto"/>
            <w:vMerge w:val="continue"/>
            <w:shd w:val="clear" w:color="auto" w:fill="auto"/>
            <w:vAlign w:val="center"/>
          </w:tcPr>
          <w:p w14:paraId="7C0D3F24">
            <w:pPr>
              <w:keepNext/>
              <w:keepLines/>
              <w:spacing w:after="0"/>
              <w:jc w:val="center"/>
              <w:rPr>
                <w:rFonts w:ascii="Arial" w:hAnsi="Arial"/>
                <w:b/>
                <w:sz w:val="16"/>
                <w:szCs w:val="16"/>
              </w:rPr>
            </w:pPr>
          </w:p>
        </w:tc>
        <w:tc>
          <w:tcPr>
            <w:tcW w:w="0" w:type="auto"/>
            <w:vMerge w:val="continue"/>
            <w:shd w:val="clear" w:color="auto" w:fill="auto"/>
            <w:vAlign w:val="center"/>
          </w:tcPr>
          <w:p w14:paraId="233C47AF">
            <w:pPr>
              <w:keepNext/>
              <w:keepLines/>
              <w:spacing w:after="0"/>
              <w:jc w:val="center"/>
              <w:rPr>
                <w:rFonts w:ascii="Arial" w:hAnsi="Arial"/>
                <w:b/>
                <w:sz w:val="16"/>
                <w:szCs w:val="16"/>
              </w:rPr>
            </w:pPr>
          </w:p>
        </w:tc>
      </w:tr>
      <w:tr w14:paraId="7EC093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650E0626">
            <w:pPr>
              <w:keepNext/>
              <w:keepLines/>
              <w:spacing w:after="0"/>
              <w:jc w:val="center"/>
              <w:rPr>
                <w:rFonts w:ascii="Arial" w:hAnsi="Arial"/>
                <w:sz w:val="16"/>
                <w:szCs w:val="16"/>
              </w:rPr>
            </w:pPr>
          </w:p>
        </w:tc>
        <w:tc>
          <w:tcPr>
            <w:tcW w:w="0" w:type="auto"/>
            <w:vMerge w:val="continue"/>
            <w:shd w:val="clear" w:color="auto" w:fill="auto"/>
            <w:vAlign w:val="center"/>
          </w:tcPr>
          <w:p w14:paraId="660ECD46">
            <w:pPr>
              <w:keepNext/>
              <w:keepLines/>
              <w:spacing w:after="0"/>
              <w:jc w:val="center"/>
              <w:rPr>
                <w:rFonts w:ascii="Arial" w:hAnsi="Arial"/>
                <w:sz w:val="16"/>
                <w:szCs w:val="16"/>
              </w:rPr>
            </w:pPr>
          </w:p>
        </w:tc>
        <w:tc>
          <w:tcPr>
            <w:tcW w:w="0" w:type="auto"/>
            <w:vMerge w:val="continue"/>
            <w:shd w:val="clear" w:color="auto" w:fill="auto"/>
            <w:vAlign w:val="center"/>
          </w:tcPr>
          <w:p w14:paraId="60E5DEBA">
            <w:pPr>
              <w:keepNext/>
              <w:keepLines/>
              <w:spacing w:after="0"/>
              <w:jc w:val="center"/>
              <w:rPr>
                <w:rFonts w:ascii="Arial" w:hAnsi="Arial"/>
                <w:sz w:val="16"/>
                <w:szCs w:val="16"/>
              </w:rPr>
            </w:pPr>
          </w:p>
        </w:tc>
        <w:tc>
          <w:tcPr>
            <w:tcW w:w="2008" w:type="dxa"/>
            <w:shd w:val="clear" w:color="auto" w:fill="auto"/>
            <w:vAlign w:val="center"/>
          </w:tcPr>
          <w:p w14:paraId="6D9E7FC7">
            <w:pPr>
              <w:pStyle w:val="15"/>
              <w:rPr>
                <w:lang w:eastAsia="zh-CN"/>
              </w:rPr>
            </w:pPr>
            <w:r>
              <w:rPr>
                <w:lang w:eastAsia="zh-CN"/>
              </w:rPr>
              <w:t>NR_FDD_FR1_A, NR_TDD_FR1_A,</w:t>
            </w:r>
          </w:p>
          <w:p w14:paraId="7498D8F2">
            <w:pPr>
              <w:pStyle w:val="15"/>
              <w:rPr>
                <w:lang w:eastAsia="zh-CN"/>
              </w:rPr>
            </w:pPr>
            <w:r>
              <w:rPr>
                <w:lang w:eastAsia="zh-CN"/>
              </w:rPr>
              <w:t>NR_SDL_FR1_A</w:t>
            </w:r>
          </w:p>
        </w:tc>
        <w:tc>
          <w:tcPr>
            <w:tcW w:w="803" w:type="dxa"/>
            <w:shd w:val="clear" w:color="auto" w:fill="auto"/>
            <w:vAlign w:val="center"/>
          </w:tcPr>
          <w:p w14:paraId="26C7AC3C">
            <w:pPr>
              <w:pStyle w:val="15"/>
              <w:rPr>
                <w:lang w:eastAsia="zh-CN"/>
              </w:rPr>
            </w:pPr>
            <w:r>
              <w:rPr>
                <w:lang w:eastAsia="zh-CN"/>
              </w:rPr>
              <w:t>-121</w:t>
            </w:r>
          </w:p>
        </w:tc>
        <w:tc>
          <w:tcPr>
            <w:tcW w:w="814" w:type="dxa"/>
            <w:shd w:val="clear" w:color="auto" w:fill="auto"/>
            <w:vAlign w:val="center"/>
          </w:tcPr>
          <w:p w14:paraId="55273810">
            <w:pPr>
              <w:pStyle w:val="15"/>
              <w:rPr>
                <w:lang w:eastAsia="zh-CN"/>
              </w:rPr>
            </w:pPr>
            <w:r>
              <w:rPr>
                <w:lang w:eastAsia="zh-CN"/>
              </w:rPr>
              <w:t>-118</w:t>
            </w:r>
          </w:p>
        </w:tc>
        <w:tc>
          <w:tcPr>
            <w:tcW w:w="0" w:type="auto"/>
            <w:shd w:val="clear" w:color="auto" w:fill="auto"/>
            <w:vAlign w:val="center"/>
          </w:tcPr>
          <w:p w14:paraId="5C9E957A">
            <w:pPr>
              <w:pStyle w:val="15"/>
              <w:rPr>
                <w:lang w:eastAsia="zh-CN"/>
              </w:rPr>
            </w:pPr>
            <w:r>
              <w:rPr>
                <w:rFonts w:hint="eastAsia"/>
                <w:lang w:eastAsia="zh-CN"/>
              </w:rPr>
              <w:t>-</w:t>
            </w:r>
            <w:r>
              <w:rPr>
                <w:lang w:eastAsia="zh-CN"/>
              </w:rPr>
              <w:t>115</w:t>
            </w:r>
          </w:p>
        </w:tc>
        <w:tc>
          <w:tcPr>
            <w:tcW w:w="0" w:type="auto"/>
            <w:shd w:val="clear" w:color="auto" w:fill="auto"/>
            <w:vAlign w:val="center"/>
          </w:tcPr>
          <w:p w14:paraId="4AD95717">
            <w:pPr>
              <w:pStyle w:val="15"/>
            </w:pPr>
            <w:r>
              <w:t>N/A</w:t>
            </w:r>
          </w:p>
        </w:tc>
        <w:tc>
          <w:tcPr>
            <w:tcW w:w="0" w:type="auto"/>
            <w:shd w:val="clear" w:color="auto" w:fill="auto"/>
            <w:vAlign w:val="center"/>
          </w:tcPr>
          <w:p w14:paraId="0EEEEB2B">
            <w:pPr>
              <w:pStyle w:val="15"/>
            </w:pPr>
            <w:r>
              <w:t>-70</w:t>
            </w:r>
          </w:p>
        </w:tc>
      </w:tr>
      <w:tr w14:paraId="42C161C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3CF9E956">
            <w:pPr>
              <w:keepNext/>
              <w:keepLines/>
              <w:spacing w:after="0"/>
              <w:jc w:val="center"/>
              <w:rPr>
                <w:rFonts w:ascii="Arial" w:hAnsi="Arial"/>
                <w:sz w:val="16"/>
                <w:szCs w:val="16"/>
              </w:rPr>
            </w:pPr>
          </w:p>
        </w:tc>
        <w:tc>
          <w:tcPr>
            <w:tcW w:w="0" w:type="auto"/>
            <w:vMerge w:val="continue"/>
            <w:shd w:val="clear" w:color="auto" w:fill="auto"/>
            <w:vAlign w:val="center"/>
          </w:tcPr>
          <w:p w14:paraId="5A796A79">
            <w:pPr>
              <w:keepNext/>
              <w:keepLines/>
              <w:spacing w:after="0"/>
              <w:jc w:val="center"/>
              <w:rPr>
                <w:rFonts w:ascii="Arial" w:hAnsi="Arial"/>
                <w:sz w:val="16"/>
                <w:szCs w:val="16"/>
              </w:rPr>
            </w:pPr>
          </w:p>
        </w:tc>
        <w:tc>
          <w:tcPr>
            <w:tcW w:w="0" w:type="auto"/>
            <w:vMerge w:val="continue"/>
            <w:shd w:val="clear" w:color="auto" w:fill="auto"/>
            <w:vAlign w:val="center"/>
          </w:tcPr>
          <w:p w14:paraId="7EF682D0">
            <w:pPr>
              <w:keepNext/>
              <w:keepLines/>
              <w:spacing w:after="0"/>
              <w:jc w:val="center"/>
              <w:rPr>
                <w:rFonts w:ascii="Arial" w:hAnsi="Arial"/>
                <w:sz w:val="16"/>
                <w:szCs w:val="16"/>
              </w:rPr>
            </w:pPr>
          </w:p>
        </w:tc>
        <w:tc>
          <w:tcPr>
            <w:tcW w:w="2008" w:type="dxa"/>
            <w:shd w:val="clear" w:color="auto" w:fill="auto"/>
            <w:vAlign w:val="center"/>
          </w:tcPr>
          <w:p w14:paraId="5205641E">
            <w:pPr>
              <w:pStyle w:val="15"/>
              <w:rPr>
                <w:lang w:eastAsia="zh-CN"/>
              </w:rPr>
            </w:pPr>
            <w:r>
              <w:rPr>
                <w:lang w:eastAsia="zh-CN"/>
              </w:rPr>
              <w:t>NR_FDD_FR1_B</w:t>
            </w:r>
          </w:p>
        </w:tc>
        <w:tc>
          <w:tcPr>
            <w:tcW w:w="803" w:type="dxa"/>
            <w:shd w:val="clear" w:color="auto" w:fill="auto"/>
          </w:tcPr>
          <w:p w14:paraId="33DEA4CC">
            <w:pPr>
              <w:pStyle w:val="15"/>
              <w:rPr>
                <w:lang w:eastAsia="zh-CN"/>
              </w:rPr>
            </w:pPr>
            <w:r>
              <w:rPr>
                <w:lang w:eastAsia="zh-CN"/>
              </w:rPr>
              <w:t>-120.5</w:t>
            </w:r>
          </w:p>
        </w:tc>
        <w:tc>
          <w:tcPr>
            <w:tcW w:w="814" w:type="dxa"/>
            <w:shd w:val="clear" w:color="auto" w:fill="auto"/>
            <w:vAlign w:val="center"/>
          </w:tcPr>
          <w:p w14:paraId="7F64EE09">
            <w:pPr>
              <w:pStyle w:val="15"/>
              <w:rPr>
                <w:lang w:eastAsia="zh-CN"/>
              </w:rPr>
            </w:pPr>
            <w:r>
              <w:rPr>
                <w:lang w:eastAsia="zh-CN"/>
              </w:rPr>
              <w:t>-117.5</w:t>
            </w:r>
          </w:p>
        </w:tc>
        <w:tc>
          <w:tcPr>
            <w:tcW w:w="0" w:type="auto"/>
            <w:shd w:val="clear" w:color="auto" w:fill="auto"/>
            <w:vAlign w:val="center"/>
          </w:tcPr>
          <w:p w14:paraId="5E0CDDDB">
            <w:pPr>
              <w:pStyle w:val="15"/>
              <w:rPr>
                <w:lang w:val="sv-SE" w:eastAsia="zh-CN"/>
              </w:rPr>
            </w:pPr>
            <w:r>
              <w:rPr>
                <w:rFonts w:hint="eastAsia"/>
                <w:lang w:val="sv-SE" w:eastAsia="zh-CN"/>
              </w:rPr>
              <w:t>-</w:t>
            </w:r>
            <w:r>
              <w:rPr>
                <w:lang w:val="sv-SE" w:eastAsia="zh-CN"/>
              </w:rPr>
              <w:t>114.5</w:t>
            </w:r>
          </w:p>
        </w:tc>
        <w:tc>
          <w:tcPr>
            <w:tcW w:w="0" w:type="auto"/>
            <w:shd w:val="clear" w:color="auto" w:fill="auto"/>
            <w:vAlign w:val="center"/>
          </w:tcPr>
          <w:p w14:paraId="2EA80DE0">
            <w:pPr>
              <w:pStyle w:val="15"/>
            </w:pPr>
            <w:r>
              <w:t>N/A</w:t>
            </w:r>
          </w:p>
        </w:tc>
        <w:tc>
          <w:tcPr>
            <w:tcW w:w="0" w:type="auto"/>
            <w:shd w:val="clear" w:color="auto" w:fill="auto"/>
            <w:vAlign w:val="center"/>
          </w:tcPr>
          <w:p w14:paraId="002912C3">
            <w:pPr>
              <w:pStyle w:val="15"/>
            </w:pPr>
            <w:r>
              <w:t>-70</w:t>
            </w:r>
          </w:p>
        </w:tc>
      </w:tr>
      <w:tr w14:paraId="591ACA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0FD1368A">
            <w:pPr>
              <w:keepNext/>
              <w:keepLines/>
              <w:spacing w:after="0"/>
              <w:jc w:val="center"/>
              <w:rPr>
                <w:rFonts w:ascii="Arial" w:hAnsi="Arial"/>
                <w:sz w:val="16"/>
                <w:szCs w:val="16"/>
              </w:rPr>
            </w:pPr>
          </w:p>
        </w:tc>
        <w:tc>
          <w:tcPr>
            <w:tcW w:w="0" w:type="auto"/>
            <w:vMerge w:val="continue"/>
            <w:shd w:val="clear" w:color="auto" w:fill="auto"/>
            <w:vAlign w:val="center"/>
          </w:tcPr>
          <w:p w14:paraId="6825F7D0">
            <w:pPr>
              <w:keepNext/>
              <w:keepLines/>
              <w:spacing w:after="0"/>
              <w:jc w:val="center"/>
              <w:rPr>
                <w:rFonts w:ascii="Arial" w:hAnsi="Arial"/>
                <w:sz w:val="16"/>
                <w:szCs w:val="16"/>
              </w:rPr>
            </w:pPr>
          </w:p>
        </w:tc>
        <w:tc>
          <w:tcPr>
            <w:tcW w:w="0" w:type="auto"/>
            <w:vMerge w:val="continue"/>
            <w:shd w:val="clear" w:color="auto" w:fill="auto"/>
            <w:vAlign w:val="center"/>
          </w:tcPr>
          <w:p w14:paraId="13A0E2CC">
            <w:pPr>
              <w:keepNext/>
              <w:keepLines/>
              <w:spacing w:after="0"/>
              <w:jc w:val="center"/>
              <w:rPr>
                <w:rFonts w:ascii="Arial" w:hAnsi="Arial"/>
                <w:sz w:val="16"/>
                <w:szCs w:val="16"/>
              </w:rPr>
            </w:pPr>
          </w:p>
        </w:tc>
        <w:tc>
          <w:tcPr>
            <w:tcW w:w="2008" w:type="dxa"/>
            <w:shd w:val="clear" w:color="auto" w:fill="auto"/>
            <w:vAlign w:val="center"/>
          </w:tcPr>
          <w:p w14:paraId="1E2965BB">
            <w:pPr>
              <w:pStyle w:val="15"/>
              <w:rPr>
                <w:lang w:eastAsia="zh-CN"/>
              </w:rPr>
            </w:pPr>
            <w:r>
              <w:rPr>
                <w:lang w:eastAsia="zh-CN"/>
              </w:rPr>
              <w:t>NR_TDD_FR1_C</w:t>
            </w:r>
          </w:p>
        </w:tc>
        <w:tc>
          <w:tcPr>
            <w:tcW w:w="803" w:type="dxa"/>
            <w:shd w:val="clear" w:color="auto" w:fill="auto"/>
            <w:vAlign w:val="center"/>
          </w:tcPr>
          <w:p w14:paraId="3530848F">
            <w:pPr>
              <w:pStyle w:val="15"/>
              <w:rPr>
                <w:lang w:eastAsia="zh-CN"/>
              </w:rPr>
            </w:pPr>
            <w:r>
              <w:rPr>
                <w:lang w:eastAsia="zh-CN"/>
              </w:rPr>
              <w:t>-120</w:t>
            </w:r>
          </w:p>
        </w:tc>
        <w:tc>
          <w:tcPr>
            <w:tcW w:w="814" w:type="dxa"/>
            <w:shd w:val="clear" w:color="auto" w:fill="auto"/>
            <w:vAlign w:val="center"/>
          </w:tcPr>
          <w:p w14:paraId="215A42AF">
            <w:pPr>
              <w:pStyle w:val="15"/>
              <w:rPr>
                <w:lang w:eastAsia="zh-CN"/>
              </w:rPr>
            </w:pPr>
            <w:r>
              <w:rPr>
                <w:lang w:eastAsia="zh-CN"/>
              </w:rPr>
              <w:t>-117</w:t>
            </w:r>
          </w:p>
        </w:tc>
        <w:tc>
          <w:tcPr>
            <w:tcW w:w="0" w:type="auto"/>
            <w:shd w:val="clear" w:color="auto" w:fill="auto"/>
            <w:vAlign w:val="center"/>
          </w:tcPr>
          <w:p w14:paraId="1EBCFA29">
            <w:pPr>
              <w:pStyle w:val="15"/>
              <w:rPr>
                <w:lang w:eastAsia="zh-CN"/>
              </w:rPr>
            </w:pPr>
            <w:r>
              <w:rPr>
                <w:rFonts w:hint="eastAsia"/>
                <w:lang w:eastAsia="zh-CN"/>
              </w:rPr>
              <w:t>-</w:t>
            </w:r>
            <w:r>
              <w:rPr>
                <w:lang w:eastAsia="zh-CN"/>
              </w:rPr>
              <w:t>114</w:t>
            </w:r>
          </w:p>
        </w:tc>
        <w:tc>
          <w:tcPr>
            <w:tcW w:w="0" w:type="auto"/>
            <w:shd w:val="clear" w:color="auto" w:fill="auto"/>
            <w:vAlign w:val="center"/>
          </w:tcPr>
          <w:p w14:paraId="52D5AE6A">
            <w:pPr>
              <w:pStyle w:val="15"/>
            </w:pPr>
            <w:r>
              <w:t>N/A</w:t>
            </w:r>
          </w:p>
        </w:tc>
        <w:tc>
          <w:tcPr>
            <w:tcW w:w="0" w:type="auto"/>
            <w:shd w:val="clear" w:color="auto" w:fill="auto"/>
            <w:vAlign w:val="center"/>
          </w:tcPr>
          <w:p w14:paraId="6A910933">
            <w:pPr>
              <w:pStyle w:val="15"/>
            </w:pPr>
            <w:r>
              <w:t>-70</w:t>
            </w:r>
          </w:p>
        </w:tc>
      </w:tr>
      <w:tr w14:paraId="27DE89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73D9B267">
            <w:pPr>
              <w:keepNext/>
              <w:keepLines/>
              <w:spacing w:after="0"/>
              <w:jc w:val="center"/>
              <w:rPr>
                <w:rFonts w:ascii="Arial" w:hAnsi="Arial"/>
                <w:sz w:val="16"/>
                <w:szCs w:val="16"/>
              </w:rPr>
            </w:pPr>
          </w:p>
        </w:tc>
        <w:tc>
          <w:tcPr>
            <w:tcW w:w="0" w:type="auto"/>
            <w:vMerge w:val="continue"/>
            <w:shd w:val="clear" w:color="auto" w:fill="auto"/>
            <w:vAlign w:val="center"/>
          </w:tcPr>
          <w:p w14:paraId="019E0D30">
            <w:pPr>
              <w:keepNext/>
              <w:keepLines/>
              <w:spacing w:after="0"/>
              <w:jc w:val="center"/>
              <w:rPr>
                <w:rFonts w:ascii="Arial" w:hAnsi="Arial"/>
                <w:sz w:val="16"/>
                <w:szCs w:val="16"/>
              </w:rPr>
            </w:pPr>
          </w:p>
        </w:tc>
        <w:tc>
          <w:tcPr>
            <w:tcW w:w="0" w:type="auto"/>
            <w:vMerge w:val="continue"/>
            <w:shd w:val="clear" w:color="auto" w:fill="auto"/>
            <w:vAlign w:val="center"/>
          </w:tcPr>
          <w:p w14:paraId="276C8FFA">
            <w:pPr>
              <w:keepNext/>
              <w:keepLines/>
              <w:spacing w:after="0"/>
              <w:jc w:val="center"/>
              <w:rPr>
                <w:rFonts w:ascii="Arial" w:hAnsi="Arial"/>
                <w:sz w:val="16"/>
                <w:szCs w:val="16"/>
              </w:rPr>
            </w:pPr>
          </w:p>
        </w:tc>
        <w:tc>
          <w:tcPr>
            <w:tcW w:w="2008" w:type="dxa"/>
            <w:shd w:val="clear" w:color="auto" w:fill="auto"/>
            <w:vAlign w:val="center"/>
          </w:tcPr>
          <w:p w14:paraId="0ADC43BD">
            <w:pPr>
              <w:pStyle w:val="15"/>
              <w:rPr>
                <w:lang w:eastAsia="zh-CN"/>
              </w:rPr>
            </w:pPr>
            <w:r>
              <w:rPr>
                <w:lang w:eastAsia="zh-CN"/>
              </w:rPr>
              <w:t>NR_FDD_FR1_D, NR_TDD_FR1_D</w:t>
            </w:r>
          </w:p>
        </w:tc>
        <w:tc>
          <w:tcPr>
            <w:tcW w:w="803" w:type="dxa"/>
            <w:shd w:val="clear" w:color="auto" w:fill="auto"/>
            <w:vAlign w:val="center"/>
          </w:tcPr>
          <w:p w14:paraId="3F1F6770">
            <w:pPr>
              <w:pStyle w:val="15"/>
              <w:rPr>
                <w:lang w:eastAsia="zh-CN"/>
              </w:rPr>
            </w:pPr>
            <w:r>
              <w:rPr>
                <w:lang w:eastAsia="zh-CN"/>
              </w:rPr>
              <w:t>-119.5</w:t>
            </w:r>
          </w:p>
        </w:tc>
        <w:tc>
          <w:tcPr>
            <w:tcW w:w="814" w:type="dxa"/>
            <w:shd w:val="clear" w:color="auto" w:fill="auto"/>
            <w:vAlign w:val="center"/>
          </w:tcPr>
          <w:p w14:paraId="32D0179B">
            <w:pPr>
              <w:pStyle w:val="15"/>
              <w:rPr>
                <w:lang w:eastAsia="zh-CN"/>
              </w:rPr>
            </w:pPr>
            <w:r>
              <w:rPr>
                <w:lang w:eastAsia="zh-CN"/>
              </w:rPr>
              <w:t>-116.5</w:t>
            </w:r>
          </w:p>
        </w:tc>
        <w:tc>
          <w:tcPr>
            <w:tcW w:w="0" w:type="auto"/>
            <w:shd w:val="clear" w:color="auto" w:fill="auto"/>
            <w:vAlign w:val="center"/>
          </w:tcPr>
          <w:p w14:paraId="74266448">
            <w:pPr>
              <w:pStyle w:val="15"/>
              <w:rPr>
                <w:lang w:val="sv-SE" w:eastAsia="zh-CN"/>
              </w:rPr>
            </w:pPr>
            <w:r>
              <w:rPr>
                <w:rFonts w:hint="eastAsia"/>
                <w:lang w:val="sv-SE" w:eastAsia="zh-CN"/>
              </w:rPr>
              <w:t>-</w:t>
            </w:r>
            <w:r>
              <w:rPr>
                <w:lang w:val="sv-SE" w:eastAsia="zh-CN"/>
              </w:rPr>
              <w:t>113.5</w:t>
            </w:r>
          </w:p>
        </w:tc>
        <w:tc>
          <w:tcPr>
            <w:tcW w:w="0" w:type="auto"/>
            <w:shd w:val="clear" w:color="auto" w:fill="auto"/>
            <w:vAlign w:val="center"/>
          </w:tcPr>
          <w:p w14:paraId="7FE2093A">
            <w:pPr>
              <w:pStyle w:val="15"/>
            </w:pPr>
            <w:r>
              <w:t>N/A</w:t>
            </w:r>
          </w:p>
        </w:tc>
        <w:tc>
          <w:tcPr>
            <w:tcW w:w="0" w:type="auto"/>
            <w:shd w:val="clear" w:color="auto" w:fill="auto"/>
            <w:vAlign w:val="center"/>
          </w:tcPr>
          <w:p w14:paraId="1D88E5A4">
            <w:pPr>
              <w:pStyle w:val="15"/>
            </w:pPr>
            <w:r>
              <w:t>-70</w:t>
            </w:r>
          </w:p>
        </w:tc>
      </w:tr>
      <w:tr w14:paraId="1EE492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1F5CA3FB">
            <w:pPr>
              <w:keepNext/>
              <w:keepLines/>
              <w:spacing w:after="0"/>
              <w:jc w:val="center"/>
              <w:rPr>
                <w:rFonts w:ascii="Arial" w:hAnsi="Arial"/>
                <w:sz w:val="16"/>
                <w:szCs w:val="16"/>
              </w:rPr>
            </w:pPr>
          </w:p>
        </w:tc>
        <w:tc>
          <w:tcPr>
            <w:tcW w:w="0" w:type="auto"/>
            <w:vMerge w:val="continue"/>
            <w:shd w:val="clear" w:color="auto" w:fill="auto"/>
            <w:vAlign w:val="center"/>
          </w:tcPr>
          <w:p w14:paraId="400B97D8">
            <w:pPr>
              <w:keepNext/>
              <w:keepLines/>
              <w:spacing w:after="0"/>
              <w:jc w:val="center"/>
              <w:rPr>
                <w:rFonts w:ascii="Arial" w:hAnsi="Arial"/>
                <w:sz w:val="16"/>
                <w:szCs w:val="16"/>
              </w:rPr>
            </w:pPr>
          </w:p>
        </w:tc>
        <w:tc>
          <w:tcPr>
            <w:tcW w:w="0" w:type="auto"/>
            <w:vMerge w:val="continue"/>
            <w:shd w:val="clear" w:color="auto" w:fill="auto"/>
            <w:vAlign w:val="center"/>
          </w:tcPr>
          <w:p w14:paraId="17CD1422">
            <w:pPr>
              <w:keepNext/>
              <w:keepLines/>
              <w:spacing w:after="0"/>
              <w:jc w:val="center"/>
              <w:rPr>
                <w:rFonts w:ascii="Arial" w:hAnsi="Arial"/>
                <w:sz w:val="16"/>
                <w:szCs w:val="16"/>
              </w:rPr>
            </w:pPr>
          </w:p>
        </w:tc>
        <w:tc>
          <w:tcPr>
            <w:tcW w:w="2008" w:type="dxa"/>
            <w:shd w:val="clear" w:color="auto" w:fill="auto"/>
            <w:vAlign w:val="center"/>
          </w:tcPr>
          <w:p w14:paraId="318A2DF3">
            <w:pPr>
              <w:pStyle w:val="15"/>
              <w:rPr>
                <w:lang w:eastAsia="zh-CN"/>
              </w:rPr>
            </w:pPr>
            <w:r>
              <w:rPr>
                <w:lang w:eastAsia="zh-CN"/>
              </w:rPr>
              <w:t>NR_FDD_FR1_E, NR_TDD_FR1_E</w:t>
            </w:r>
          </w:p>
        </w:tc>
        <w:tc>
          <w:tcPr>
            <w:tcW w:w="803" w:type="dxa"/>
            <w:shd w:val="clear" w:color="auto" w:fill="auto"/>
            <w:vAlign w:val="center"/>
          </w:tcPr>
          <w:p w14:paraId="1D1195B3">
            <w:pPr>
              <w:pStyle w:val="15"/>
              <w:rPr>
                <w:lang w:eastAsia="zh-CN"/>
              </w:rPr>
            </w:pPr>
            <w:r>
              <w:rPr>
                <w:lang w:eastAsia="zh-CN"/>
              </w:rPr>
              <w:t>-119</w:t>
            </w:r>
          </w:p>
        </w:tc>
        <w:tc>
          <w:tcPr>
            <w:tcW w:w="814" w:type="dxa"/>
            <w:shd w:val="clear" w:color="auto" w:fill="auto"/>
            <w:vAlign w:val="center"/>
          </w:tcPr>
          <w:p w14:paraId="46A8C660">
            <w:pPr>
              <w:pStyle w:val="15"/>
              <w:rPr>
                <w:lang w:eastAsia="zh-CN"/>
              </w:rPr>
            </w:pPr>
            <w:r>
              <w:rPr>
                <w:lang w:eastAsia="zh-CN"/>
              </w:rPr>
              <w:t>-116</w:t>
            </w:r>
          </w:p>
        </w:tc>
        <w:tc>
          <w:tcPr>
            <w:tcW w:w="0" w:type="auto"/>
            <w:shd w:val="clear" w:color="auto" w:fill="auto"/>
            <w:vAlign w:val="center"/>
          </w:tcPr>
          <w:p w14:paraId="53CF1C41">
            <w:pPr>
              <w:pStyle w:val="15"/>
              <w:rPr>
                <w:rFonts w:cs="Arial"/>
                <w:lang w:eastAsia="zh-CN"/>
              </w:rPr>
            </w:pPr>
            <w:r>
              <w:rPr>
                <w:rFonts w:hint="eastAsia" w:cs="Arial"/>
                <w:lang w:eastAsia="zh-CN"/>
              </w:rPr>
              <w:t>-</w:t>
            </w:r>
            <w:r>
              <w:rPr>
                <w:rFonts w:cs="Arial"/>
                <w:lang w:eastAsia="zh-CN"/>
              </w:rPr>
              <w:t>113</w:t>
            </w:r>
          </w:p>
        </w:tc>
        <w:tc>
          <w:tcPr>
            <w:tcW w:w="0" w:type="auto"/>
            <w:shd w:val="clear" w:color="auto" w:fill="auto"/>
            <w:vAlign w:val="center"/>
          </w:tcPr>
          <w:p w14:paraId="4B7BB91D">
            <w:pPr>
              <w:pStyle w:val="15"/>
            </w:pPr>
            <w:r>
              <w:t>N/A</w:t>
            </w:r>
          </w:p>
        </w:tc>
        <w:tc>
          <w:tcPr>
            <w:tcW w:w="0" w:type="auto"/>
            <w:shd w:val="clear" w:color="auto" w:fill="auto"/>
            <w:vAlign w:val="center"/>
          </w:tcPr>
          <w:p w14:paraId="64795CA8">
            <w:pPr>
              <w:pStyle w:val="15"/>
            </w:pPr>
            <w:r>
              <w:t>-70</w:t>
            </w:r>
          </w:p>
        </w:tc>
      </w:tr>
      <w:tr w14:paraId="04DAF4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41C370E2">
            <w:pPr>
              <w:keepNext/>
              <w:keepLines/>
              <w:spacing w:after="0"/>
              <w:jc w:val="center"/>
              <w:rPr>
                <w:rFonts w:ascii="Arial" w:hAnsi="Arial"/>
                <w:sz w:val="16"/>
                <w:szCs w:val="16"/>
              </w:rPr>
            </w:pPr>
          </w:p>
        </w:tc>
        <w:tc>
          <w:tcPr>
            <w:tcW w:w="0" w:type="auto"/>
            <w:vMerge w:val="continue"/>
            <w:shd w:val="clear" w:color="auto" w:fill="auto"/>
            <w:vAlign w:val="center"/>
          </w:tcPr>
          <w:p w14:paraId="01CE737C">
            <w:pPr>
              <w:keepNext/>
              <w:keepLines/>
              <w:spacing w:after="0"/>
              <w:jc w:val="center"/>
              <w:rPr>
                <w:rFonts w:ascii="Arial" w:hAnsi="Arial"/>
                <w:sz w:val="16"/>
                <w:szCs w:val="16"/>
              </w:rPr>
            </w:pPr>
          </w:p>
        </w:tc>
        <w:tc>
          <w:tcPr>
            <w:tcW w:w="0" w:type="auto"/>
            <w:vMerge w:val="continue"/>
            <w:shd w:val="clear" w:color="auto" w:fill="auto"/>
            <w:vAlign w:val="center"/>
          </w:tcPr>
          <w:p w14:paraId="6831064E">
            <w:pPr>
              <w:keepNext/>
              <w:keepLines/>
              <w:spacing w:after="0"/>
              <w:jc w:val="center"/>
              <w:rPr>
                <w:rFonts w:ascii="Arial" w:hAnsi="Arial"/>
                <w:sz w:val="16"/>
                <w:szCs w:val="16"/>
              </w:rPr>
            </w:pPr>
          </w:p>
        </w:tc>
        <w:tc>
          <w:tcPr>
            <w:tcW w:w="2008" w:type="dxa"/>
            <w:shd w:val="clear" w:color="auto" w:fill="auto"/>
            <w:vAlign w:val="center"/>
          </w:tcPr>
          <w:p w14:paraId="3BCBC943">
            <w:pPr>
              <w:pStyle w:val="15"/>
              <w:rPr>
                <w:lang w:eastAsia="zh-CN"/>
              </w:rPr>
            </w:pPr>
            <w:r>
              <w:rPr>
                <w:lang w:eastAsia="zh-CN"/>
              </w:rPr>
              <w:t>NR_FDD_FR1_F</w:t>
            </w:r>
          </w:p>
        </w:tc>
        <w:tc>
          <w:tcPr>
            <w:tcW w:w="803" w:type="dxa"/>
            <w:shd w:val="clear" w:color="auto" w:fill="auto"/>
            <w:vAlign w:val="center"/>
          </w:tcPr>
          <w:p w14:paraId="13F4E18A">
            <w:pPr>
              <w:pStyle w:val="15"/>
              <w:rPr>
                <w:lang w:eastAsia="zh-CN"/>
              </w:rPr>
            </w:pPr>
            <w:r>
              <w:rPr>
                <w:lang w:eastAsia="zh-CN"/>
              </w:rPr>
              <w:t>-118.5</w:t>
            </w:r>
          </w:p>
        </w:tc>
        <w:tc>
          <w:tcPr>
            <w:tcW w:w="814" w:type="dxa"/>
            <w:shd w:val="clear" w:color="auto" w:fill="auto"/>
            <w:vAlign w:val="center"/>
          </w:tcPr>
          <w:p w14:paraId="347D2893">
            <w:pPr>
              <w:pStyle w:val="15"/>
              <w:rPr>
                <w:lang w:eastAsia="zh-CN"/>
              </w:rPr>
            </w:pPr>
            <w:r>
              <w:rPr>
                <w:lang w:eastAsia="zh-CN"/>
              </w:rPr>
              <w:t>-115.5</w:t>
            </w:r>
          </w:p>
        </w:tc>
        <w:tc>
          <w:tcPr>
            <w:tcW w:w="0" w:type="auto"/>
            <w:shd w:val="clear" w:color="auto" w:fill="auto"/>
            <w:vAlign w:val="center"/>
          </w:tcPr>
          <w:p w14:paraId="408A6725">
            <w:pPr>
              <w:pStyle w:val="15"/>
              <w:rPr>
                <w:rFonts w:cs="Arial"/>
                <w:lang w:eastAsia="zh-CN"/>
              </w:rPr>
            </w:pPr>
            <w:r>
              <w:rPr>
                <w:rFonts w:hint="eastAsia" w:cs="Arial"/>
                <w:lang w:eastAsia="zh-CN"/>
              </w:rPr>
              <w:t>-</w:t>
            </w:r>
            <w:r>
              <w:rPr>
                <w:rFonts w:cs="Arial"/>
                <w:lang w:eastAsia="zh-CN"/>
              </w:rPr>
              <w:t>112.5</w:t>
            </w:r>
          </w:p>
        </w:tc>
        <w:tc>
          <w:tcPr>
            <w:tcW w:w="0" w:type="auto"/>
            <w:shd w:val="clear" w:color="auto" w:fill="auto"/>
            <w:vAlign w:val="center"/>
          </w:tcPr>
          <w:p w14:paraId="18A3C4D2">
            <w:pPr>
              <w:pStyle w:val="15"/>
            </w:pPr>
            <w:r>
              <w:t>N/A</w:t>
            </w:r>
          </w:p>
        </w:tc>
        <w:tc>
          <w:tcPr>
            <w:tcW w:w="0" w:type="auto"/>
            <w:shd w:val="clear" w:color="auto" w:fill="auto"/>
            <w:vAlign w:val="center"/>
          </w:tcPr>
          <w:p w14:paraId="5DC25F9D">
            <w:pPr>
              <w:pStyle w:val="15"/>
            </w:pPr>
            <w:r>
              <w:t>-70</w:t>
            </w:r>
          </w:p>
        </w:tc>
      </w:tr>
      <w:tr w14:paraId="483ED4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5ED49DFB">
            <w:pPr>
              <w:keepNext/>
              <w:keepLines/>
              <w:spacing w:after="0"/>
              <w:jc w:val="center"/>
              <w:rPr>
                <w:rFonts w:ascii="Arial" w:hAnsi="Arial"/>
                <w:sz w:val="16"/>
                <w:szCs w:val="16"/>
              </w:rPr>
            </w:pPr>
          </w:p>
        </w:tc>
        <w:tc>
          <w:tcPr>
            <w:tcW w:w="0" w:type="auto"/>
            <w:vMerge w:val="continue"/>
            <w:shd w:val="clear" w:color="auto" w:fill="auto"/>
            <w:vAlign w:val="center"/>
          </w:tcPr>
          <w:p w14:paraId="1DBD9A06">
            <w:pPr>
              <w:keepNext/>
              <w:keepLines/>
              <w:spacing w:after="0"/>
              <w:jc w:val="center"/>
              <w:rPr>
                <w:rFonts w:ascii="Arial" w:hAnsi="Arial"/>
                <w:sz w:val="16"/>
                <w:szCs w:val="16"/>
              </w:rPr>
            </w:pPr>
          </w:p>
        </w:tc>
        <w:tc>
          <w:tcPr>
            <w:tcW w:w="0" w:type="auto"/>
            <w:vMerge w:val="continue"/>
            <w:shd w:val="clear" w:color="auto" w:fill="auto"/>
            <w:vAlign w:val="center"/>
          </w:tcPr>
          <w:p w14:paraId="0DCAAAFB">
            <w:pPr>
              <w:keepNext/>
              <w:keepLines/>
              <w:spacing w:after="0"/>
              <w:jc w:val="center"/>
              <w:rPr>
                <w:rFonts w:ascii="Arial" w:hAnsi="Arial"/>
                <w:sz w:val="16"/>
                <w:szCs w:val="16"/>
              </w:rPr>
            </w:pPr>
          </w:p>
        </w:tc>
        <w:tc>
          <w:tcPr>
            <w:tcW w:w="2008" w:type="dxa"/>
            <w:shd w:val="clear" w:color="auto" w:fill="auto"/>
            <w:vAlign w:val="center"/>
          </w:tcPr>
          <w:p w14:paraId="330E07A5">
            <w:pPr>
              <w:pStyle w:val="15"/>
              <w:rPr>
                <w:lang w:eastAsia="zh-CN"/>
              </w:rPr>
            </w:pPr>
            <w:r>
              <w:rPr>
                <w:lang w:eastAsia="zh-CN"/>
              </w:rPr>
              <w:t>NR_FDD_FR1_G</w:t>
            </w:r>
          </w:p>
        </w:tc>
        <w:tc>
          <w:tcPr>
            <w:tcW w:w="803" w:type="dxa"/>
            <w:shd w:val="clear" w:color="auto" w:fill="auto"/>
            <w:vAlign w:val="center"/>
          </w:tcPr>
          <w:p w14:paraId="3C482214">
            <w:pPr>
              <w:pStyle w:val="15"/>
              <w:rPr>
                <w:lang w:eastAsia="zh-CN"/>
              </w:rPr>
            </w:pPr>
            <w:r>
              <w:rPr>
                <w:lang w:eastAsia="zh-CN"/>
              </w:rPr>
              <w:t>-118</w:t>
            </w:r>
          </w:p>
        </w:tc>
        <w:tc>
          <w:tcPr>
            <w:tcW w:w="814" w:type="dxa"/>
            <w:shd w:val="clear" w:color="auto" w:fill="auto"/>
            <w:vAlign w:val="center"/>
          </w:tcPr>
          <w:p w14:paraId="36502AA3">
            <w:pPr>
              <w:pStyle w:val="15"/>
              <w:rPr>
                <w:lang w:eastAsia="zh-CN"/>
              </w:rPr>
            </w:pPr>
            <w:r>
              <w:rPr>
                <w:lang w:eastAsia="zh-CN"/>
              </w:rPr>
              <w:t>-115</w:t>
            </w:r>
          </w:p>
        </w:tc>
        <w:tc>
          <w:tcPr>
            <w:tcW w:w="0" w:type="auto"/>
            <w:shd w:val="clear" w:color="auto" w:fill="auto"/>
            <w:vAlign w:val="center"/>
          </w:tcPr>
          <w:p w14:paraId="3C809318">
            <w:pPr>
              <w:pStyle w:val="15"/>
              <w:rPr>
                <w:rFonts w:cs="Arial"/>
                <w:lang w:eastAsia="zh-CN"/>
              </w:rPr>
            </w:pPr>
            <w:r>
              <w:rPr>
                <w:rFonts w:hint="eastAsia" w:cs="Arial"/>
                <w:lang w:eastAsia="zh-CN"/>
              </w:rPr>
              <w:t>-</w:t>
            </w:r>
            <w:r>
              <w:rPr>
                <w:rFonts w:cs="Arial"/>
                <w:lang w:eastAsia="zh-CN"/>
              </w:rPr>
              <w:t>112</w:t>
            </w:r>
          </w:p>
        </w:tc>
        <w:tc>
          <w:tcPr>
            <w:tcW w:w="0" w:type="auto"/>
            <w:shd w:val="clear" w:color="auto" w:fill="auto"/>
            <w:vAlign w:val="center"/>
          </w:tcPr>
          <w:p w14:paraId="2B97DE6E">
            <w:pPr>
              <w:pStyle w:val="15"/>
            </w:pPr>
            <w:r>
              <w:t>N/A</w:t>
            </w:r>
          </w:p>
        </w:tc>
        <w:tc>
          <w:tcPr>
            <w:tcW w:w="0" w:type="auto"/>
            <w:shd w:val="clear" w:color="auto" w:fill="auto"/>
            <w:vAlign w:val="center"/>
          </w:tcPr>
          <w:p w14:paraId="7C3CEC36">
            <w:pPr>
              <w:pStyle w:val="15"/>
            </w:pPr>
            <w:r>
              <w:t>-70</w:t>
            </w:r>
          </w:p>
        </w:tc>
      </w:tr>
      <w:tr w14:paraId="417A25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vMerge w:val="continue"/>
            <w:tcBorders>
              <w:bottom w:val="nil"/>
            </w:tcBorders>
            <w:shd w:val="clear" w:color="auto" w:fill="auto"/>
            <w:vAlign w:val="center"/>
          </w:tcPr>
          <w:p w14:paraId="2D5990B9">
            <w:pPr>
              <w:keepNext/>
              <w:keepLines/>
              <w:spacing w:after="0"/>
              <w:jc w:val="center"/>
              <w:rPr>
                <w:rFonts w:ascii="Arial" w:hAnsi="Arial"/>
                <w:sz w:val="16"/>
                <w:szCs w:val="16"/>
              </w:rPr>
            </w:pPr>
          </w:p>
        </w:tc>
        <w:tc>
          <w:tcPr>
            <w:tcW w:w="0" w:type="auto"/>
            <w:vMerge w:val="continue"/>
            <w:tcBorders>
              <w:bottom w:val="nil"/>
            </w:tcBorders>
            <w:shd w:val="clear" w:color="auto" w:fill="auto"/>
            <w:vAlign w:val="center"/>
          </w:tcPr>
          <w:p w14:paraId="6011E42B">
            <w:pPr>
              <w:keepNext/>
              <w:keepLines/>
              <w:spacing w:after="0"/>
              <w:jc w:val="center"/>
              <w:rPr>
                <w:rFonts w:ascii="Arial" w:hAnsi="Arial"/>
                <w:sz w:val="16"/>
                <w:szCs w:val="16"/>
              </w:rPr>
            </w:pPr>
          </w:p>
        </w:tc>
        <w:tc>
          <w:tcPr>
            <w:tcW w:w="0" w:type="auto"/>
            <w:vMerge w:val="continue"/>
            <w:tcBorders>
              <w:bottom w:val="nil"/>
            </w:tcBorders>
            <w:shd w:val="clear" w:color="auto" w:fill="auto"/>
            <w:vAlign w:val="center"/>
          </w:tcPr>
          <w:p w14:paraId="296B3318">
            <w:pPr>
              <w:keepNext/>
              <w:keepLines/>
              <w:spacing w:after="0"/>
              <w:jc w:val="center"/>
              <w:rPr>
                <w:rFonts w:ascii="Arial" w:hAnsi="Arial"/>
                <w:sz w:val="16"/>
                <w:szCs w:val="16"/>
              </w:rPr>
            </w:pPr>
          </w:p>
        </w:tc>
        <w:tc>
          <w:tcPr>
            <w:tcW w:w="2008" w:type="dxa"/>
            <w:shd w:val="clear" w:color="auto" w:fill="auto"/>
            <w:vAlign w:val="center"/>
          </w:tcPr>
          <w:p w14:paraId="1093E1A9">
            <w:pPr>
              <w:pStyle w:val="15"/>
              <w:rPr>
                <w:lang w:eastAsia="zh-CN"/>
              </w:rPr>
            </w:pPr>
            <w:r>
              <w:rPr>
                <w:lang w:eastAsia="zh-CN"/>
              </w:rPr>
              <w:t>NR_FDD_FR1_H</w:t>
            </w:r>
          </w:p>
        </w:tc>
        <w:tc>
          <w:tcPr>
            <w:tcW w:w="803" w:type="dxa"/>
            <w:shd w:val="clear" w:color="auto" w:fill="auto"/>
            <w:vAlign w:val="center"/>
          </w:tcPr>
          <w:p w14:paraId="1444BDE1">
            <w:pPr>
              <w:pStyle w:val="15"/>
              <w:rPr>
                <w:lang w:eastAsia="zh-CN"/>
              </w:rPr>
            </w:pPr>
            <w:r>
              <w:rPr>
                <w:lang w:eastAsia="zh-CN"/>
              </w:rPr>
              <w:t>-117.5</w:t>
            </w:r>
          </w:p>
        </w:tc>
        <w:tc>
          <w:tcPr>
            <w:tcW w:w="814" w:type="dxa"/>
            <w:shd w:val="clear" w:color="auto" w:fill="auto"/>
            <w:vAlign w:val="center"/>
          </w:tcPr>
          <w:p w14:paraId="2C351E08">
            <w:pPr>
              <w:pStyle w:val="15"/>
              <w:rPr>
                <w:lang w:eastAsia="zh-CN"/>
              </w:rPr>
            </w:pPr>
            <w:r>
              <w:rPr>
                <w:lang w:eastAsia="zh-CN"/>
              </w:rPr>
              <w:t>-114.5</w:t>
            </w:r>
          </w:p>
        </w:tc>
        <w:tc>
          <w:tcPr>
            <w:tcW w:w="0" w:type="auto"/>
            <w:shd w:val="clear" w:color="auto" w:fill="auto"/>
            <w:vAlign w:val="center"/>
          </w:tcPr>
          <w:p w14:paraId="0CCDE2B7">
            <w:pPr>
              <w:pStyle w:val="15"/>
              <w:rPr>
                <w:rFonts w:cs="Arial"/>
                <w:lang w:eastAsia="zh-CN"/>
              </w:rPr>
            </w:pPr>
            <w:r>
              <w:rPr>
                <w:rFonts w:hint="eastAsia" w:cs="Arial"/>
                <w:lang w:eastAsia="zh-CN"/>
              </w:rPr>
              <w:t>-</w:t>
            </w:r>
            <w:r>
              <w:rPr>
                <w:rFonts w:cs="Arial"/>
                <w:lang w:eastAsia="zh-CN"/>
              </w:rPr>
              <w:t>111.5</w:t>
            </w:r>
          </w:p>
        </w:tc>
        <w:tc>
          <w:tcPr>
            <w:tcW w:w="0" w:type="auto"/>
            <w:shd w:val="clear" w:color="auto" w:fill="auto"/>
            <w:vAlign w:val="center"/>
          </w:tcPr>
          <w:p w14:paraId="517F36BC">
            <w:pPr>
              <w:pStyle w:val="15"/>
            </w:pPr>
            <w:r>
              <w:t>N/A</w:t>
            </w:r>
          </w:p>
        </w:tc>
        <w:tc>
          <w:tcPr>
            <w:tcW w:w="0" w:type="auto"/>
            <w:shd w:val="clear" w:color="auto" w:fill="auto"/>
            <w:vAlign w:val="center"/>
          </w:tcPr>
          <w:p w14:paraId="1863A33D">
            <w:pPr>
              <w:pStyle w:val="15"/>
            </w:pPr>
            <w:r>
              <w:t>-70</w:t>
            </w:r>
          </w:p>
        </w:tc>
      </w:tr>
      <w:tr w14:paraId="6D5DAF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tcBorders>
              <w:top w:val="nil"/>
            </w:tcBorders>
            <w:shd w:val="clear" w:color="auto" w:fill="auto"/>
            <w:vAlign w:val="center"/>
          </w:tcPr>
          <w:p w14:paraId="02DBA257">
            <w:pPr>
              <w:keepNext/>
              <w:keepLines/>
              <w:spacing w:after="0"/>
              <w:jc w:val="center"/>
              <w:rPr>
                <w:rFonts w:ascii="Arial" w:hAnsi="Arial"/>
                <w:sz w:val="16"/>
                <w:szCs w:val="16"/>
              </w:rPr>
            </w:pPr>
          </w:p>
        </w:tc>
        <w:tc>
          <w:tcPr>
            <w:tcW w:w="0" w:type="auto"/>
            <w:tcBorders>
              <w:top w:val="nil"/>
            </w:tcBorders>
            <w:shd w:val="clear" w:color="auto" w:fill="auto"/>
            <w:vAlign w:val="center"/>
          </w:tcPr>
          <w:p w14:paraId="3EEF98BB">
            <w:pPr>
              <w:keepNext/>
              <w:keepLines/>
              <w:spacing w:after="0"/>
              <w:jc w:val="center"/>
              <w:rPr>
                <w:rFonts w:ascii="Arial" w:hAnsi="Arial"/>
                <w:sz w:val="16"/>
                <w:szCs w:val="16"/>
              </w:rPr>
            </w:pPr>
          </w:p>
        </w:tc>
        <w:tc>
          <w:tcPr>
            <w:tcW w:w="0" w:type="auto"/>
            <w:tcBorders>
              <w:top w:val="nil"/>
            </w:tcBorders>
            <w:shd w:val="clear" w:color="auto" w:fill="auto"/>
            <w:vAlign w:val="center"/>
          </w:tcPr>
          <w:p w14:paraId="08C30F76">
            <w:pPr>
              <w:keepNext/>
              <w:keepLines/>
              <w:spacing w:after="0"/>
              <w:jc w:val="center"/>
              <w:rPr>
                <w:rFonts w:ascii="Arial" w:hAnsi="Arial"/>
                <w:sz w:val="16"/>
                <w:szCs w:val="16"/>
              </w:rPr>
            </w:pPr>
          </w:p>
        </w:tc>
        <w:tc>
          <w:tcPr>
            <w:tcW w:w="2008" w:type="dxa"/>
            <w:shd w:val="clear" w:color="auto" w:fill="auto"/>
            <w:vAlign w:val="center"/>
          </w:tcPr>
          <w:p w14:paraId="3E34DDF6">
            <w:pPr>
              <w:pStyle w:val="15"/>
              <w:rPr>
                <w:lang w:eastAsia="zh-CN"/>
              </w:rPr>
            </w:pPr>
            <w:r>
              <w:rPr>
                <w:lang w:eastAsia="zh-CN"/>
              </w:rPr>
              <w:t>NR</w:t>
            </w:r>
            <w:r>
              <w:t>_</w:t>
            </w:r>
            <w:r>
              <w:rPr>
                <w:lang w:eastAsia="zh-CN"/>
              </w:rPr>
              <w:t>FDD_FR1_</w:t>
            </w:r>
            <w:r>
              <w:rPr>
                <w:rFonts w:hint="eastAsia"/>
                <w:lang w:val="en-US" w:eastAsia="zh-CN"/>
              </w:rPr>
              <w:t>N</w:t>
            </w:r>
          </w:p>
        </w:tc>
        <w:tc>
          <w:tcPr>
            <w:tcW w:w="803" w:type="dxa"/>
            <w:shd w:val="clear" w:color="auto" w:fill="auto"/>
            <w:vAlign w:val="center"/>
          </w:tcPr>
          <w:p w14:paraId="0D33F3C6">
            <w:pPr>
              <w:pStyle w:val="15"/>
              <w:rPr>
                <w:lang w:eastAsia="zh-CN"/>
              </w:rPr>
            </w:pPr>
            <w:r>
              <w:rPr>
                <w:rFonts w:hint="eastAsia"/>
                <w:lang w:val="en-US" w:eastAsia="zh-CN"/>
              </w:rPr>
              <w:t>-114.5</w:t>
            </w:r>
          </w:p>
        </w:tc>
        <w:tc>
          <w:tcPr>
            <w:tcW w:w="814" w:type="dxa"/>
            <w:shd w:val="clear" w:color="auto" w:fill="auto"/>
            <w:vAlign w:val="center"/>
          </w:tcPr>
          <w:p w14:paraId="1D1B9865">
            <w:pPr>
              <w:pStyle w:val="15"/>
              <w:rPr>
                <w:lang w:eastAsia="zh-CN"/>
              </w:rPr>
            </w:pPr>
            <w:r>
              <w:rPr>
                <w:rFonts w:hint="eastAsia"/>
                <w:lang w:val="en-US" w:eastAsia="zh-CN"/>
              </w:rPr>
              <w:t>-111.5</w:t>
            </w:r>
          </w:p>
        </w:tc>
        <w:tc>
          <w:tcPr>
            <w:tcW w:w="0" w:type="auto"/>
            <w:shd w:val="clear" w:color="auto" w:fill="auto"/>
            <w:vAlign w:val="center"/>
          </w:tcPr>
          <w:p w14:paraId="46B22DA3">
            <w:pPr>
              <w:pStyle w:val="15"/>
              <w:rPr>
                <w:rFonts w:cs="Arial"/>
                <w:lang w:eastAsia="zh-CN"/>
              </w:rPr>
            </w:pPr>
            <w:r>
              <w:rPr>
                <w:rFonts w:hint="eastAsia" w:cs="Arial"/>
                <w:lang w:val="en-US" w:eastAsia="zh-CN"/>
              </w:rPr>
              <w:t>-108.5</w:t>
            </w:r>
          </w:p>
        </w:tc>
        <w:tc>
          <w:tcPr>
            <w:tcW w:w="0" w:type="auto"/>
            <w:shd w:val="clear" w:color="auto" w:fill="auto"/>
            <w:vAlign w:val="center"/>
          </w:tcPr>
          <w:p w14:paraId="3C8DA2FA">
            <w:pPr>
              <w:pStyle w:val="15"/>
            </w:pPr>
            <w:r>
              <w:rPr>
                <w:rFonts w:hint="eastAsia" w:eastAsia="宋体"/>
                <w:lang w:val="en-US" w:eastAsia="zh-CN"/>
              </w:rPr>
              <w:t>N/A</w:t>
            </w:r>
          </w:p>
        </w:tc>
        <w:tc>
          <w:tcPr>
            <w:tcW w:w="0" w:type="auto"/>
            <w:shd w:val="clear" w:color="auto" w:fill="auto"/>
            <w:vAlign w:val="center"/>
          </w:tcPr>
          <w:p w14:paraId="20B225B7">
            <w:pPr>
              <w:pStyle w:val="15"/>
            </w:pPr>
            <w:r>
              <w:rPr>
                <w:rFonts w:hint="eastAsia" w:eastAsia="宋体"/>
                <w:lang w:val="en-US" w:eastAsia="zh-CN"/>
              </w:rPr>
              <w:t>-70</w:t>
            </w:r>
          </w:p>
        </w:tc>
      </w:tr>
      <w:tr w14:paraId="63D5FC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shd w:val="clear" w:color="auto" w:fill="auto"/>
            <w:vAlign w:val="center"/>
          </w:tcPr>
          <w:p w14:paraId="060E4CAC">
            <w:pPr>
              <w:pStyle w:val="15"/>
              <w:rPr>
                <w:lang w:eastAsia="zh-CN"/>
              </w:rPr>
            </w:pPr>
            <w:r>
              <w:rPr>
                <w:lang w:eastAsia="zh-CN"/>
              </w:rPr>
              <w:sym w:font="Symbol" w:char="F0B1"/>
            </w:r>
            <w:r>
              <w:rPr>
                <w:lang w:eastAsia="zh-CN"/>
              </w:rPr>
              <w:t>3.5</w:t>
            </w:r>
          </w:p>
        </w:tc>
        <w:tc>
          <w:tcPr>
            <w:tcW w:w="0" w:type="auto"/>
            <w:shd w:val="clear" w:color="auto" w:fill="auto"/>
            <w:vAlign w:val="center"/>
          </w:tcPr>
          <w:p w14:paraId="6DA005D9">
            <w:pPr>
              <w:pStyle w:val="15"/>
              <w:rPr>
                <w:lang w:eastAsia="zh-CN"/>
              </w:rPr>
            </w:pPr>
            <w:r>
              <w:rPr>
                <w:lang w:eastAsia="zh-CN"/>
              </w:rPr>
              <w:sym w:font="Symbol" w:char="F0B1"/>
            </w:r>
            <w:r>
              <w:rPr>
                <w:lang w:eastAsia="zh-CN"/>
              </w:rPr>
              <w:t>4</w:t>
            </w:r>
          </w:p>
        </w:tc>
        <w:tc>
          <w:tcPr>
            <w:tcW w:w="0" w:type="auto"/>
            <w:shd w:val="clear" w:color="auto" w:fill="auto"/>
            <w:vAlign w:val="center"/>
          </w:tcPr>
          <w:p w14:paraId="2F0D4BD8">
            <w:pPr>
              <w:pStyle w:val="15"/>
              <w:rPr>
                <w:lang w:eastAsia="zh-CN"/>
              </w:rPr>
            </w:pPr>
            <w:r>
              <w:rPr>
                <w:lang w:eastAsia="zh-CN"/>
              </w:rPr>
              <w:sym w:font="Symbol" w:char="F0B3"/>
            </w:r>
            <w:r>
              <w:rPr>
                <w:lang w:eastAsia="zh-CN"/>
              </w:rPr>
              <w:t>-6</w:t>
            </w:r>
          </w:p>
        </w:tc>
        <w:tc>
          <w:tcPr>
            <w:tcW w:w="2008" w:type="dxa"/>
            <w:shd w:val="clear" w:color="auto" w:fill="auto"/>
            <w:vAlign w:val="center"/>
          </w:tcPr>
          <w:p w14:paraId="2C237A9B">
            <w:pPr>
              <w:pStyle w:val="15"/>
              <w:rPr>
                <w:lang w:eastAsia="zh-CN"/>
              </w:rPr>
            </w:pPr>
            <w:r>
              <w:rPr>
                <w:lang w:eastAsia="zh-CN"/>
              </w:rPr>
              <w:t>Note 2</w:t>
            </w:r>
          </w:p>
        </w:tc>
        <w:tc>
          <w:tcPr>
            <w:tcW w:w="803" w:type="dxa"/>
            <w:shd w:val="clear" w:color="auto" w:fill="auto"/>
            <w:vAlign w:val="center"/>
          </w:tcPr>
          <w:p w14:paraId="68235DAE">
            <w:pPr>
              <w:pStyle w:val="15"/>
              <w:rPr>
                <w:lang w:eastAsia="zh-CN"/>
              </w:rPr>
            </w:pPr>
            <w:r>
              <w:rPr>
                <w:lang w:eastAsia="zh-CN"/>
              </w:rPr>
              <w:t>Note 2</w:t>
            </w:r>
          </w:p>
        </w:tc>
        <w:tc>
          <w:tcPr>
            <w:tcW w:w="814" w:type="dxa"/>
            <w:shd w:val="clear" w:color="auto" w:fill="auto"/>
            <w:vAlign w:val="center"/>
          </w:tcPr>
          <w:p w14:paraId="2FCDC017">
            <w:pPr>
              <w:pStyle w:val="15"/>
              <w:rPr>
                <w:lang w:eastAsia="zh-CN"/>
              </w:rPr>
            </w:pPr>
            <w:r>
              <w:rPr>
                <w:lang w:eastAsia="zh-CN"/>
              </w:rPr>
              <w:t>Note 2</w:t>
            </w:r>
          </w:p>
        </w:tc>
        <w:tc>
          <w:tcPr>
            <w:tcW w:w="0" w:type="auto"/>
            <w:shd w:val="clear" w:color="auto" w:fill="auto"/>
            <w:vAlign w:val="center"/>
          </w:tcPr>
          <w:p w14:paraId="034F1112">
            <w:pPr>
              <w:pStyle w:val="15"/>
              <w:rPr>
                <w:lang w:eastAsia="zh-CN"/>
              </w:rPr>
            </w:pPr>
            <w:r>
              <w:t>Note 2</w:t>
            </w:r>
          </w:p>
        </w:tc>
        <w:tc>
          <w:tcPr>
            <w:tcW w:w="0" w:type="auto"/>
            <w:shd w:val="clear" w:color="auto" w:fill="auto"/>
            <w:vAlign w:val="center"/>
          </w:tcPr>
          <w:p w14:paraId="0B4E836F">
            <w:pPr>
              <w:pStyle w:val="15"/>
              <w:rPr>
                <w:lang w:eastAsia="zh-CN"/>
              </w:rPr>
            </w:pPr>
            <w:r>
              <w:rPr>
                <w:rFonts w:hint="eastAsia"/>
                <w:lang w:eastAsia="zh-CN"/>
              </w:rPr>
              <w:t>N</w:t>
            </w:r>
            <w:r>
              <w:rPr>
                <w:lang w:eastAsia="zh-CN"/>
              </w:rPr>
              <w:t>/A</w:t>
            </w:r>
          </w:p>
        </w:tc>
        <w:tc>
          <w:tcPr>
            <w:tcW w:w="0" w:type="auto"/>
            <w:shd w:val="clear" w:color="auto" w:fill="auto"/>
            <w:vAlign w:val="center"/>
          </w:tcPr>
          <w:p w14:paraId="5E14ED07">
            <w:pPr>
              <w:pStyle w:val="15"/>
            </w:pPr>
            <w:r>
              <w:t>Note 2</w:t>
            </w:r>
          </w:p>
        </w:tc>
      </w:tr>
      <w:tr w14:paraId="371D1BE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gridSpan w:val="9"/>
            <w:shd w:val="clear" w:color="auto" w:fill="auto"/>
            <w:vAlign w:val="center"/>
          </w:tcPr>
          <w:p w14:paraId="234E2CCA">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Io is assumed to have constant EPRE across the bandwidth.</w:t>
            </w:r>
          </w:p>
          <w:p w14:paraId="09190F76">
            <w:pPr>
              <w:pStyle w:val="17"/>
            </w:pPr>
            <w:r>
              <w:rPr>
                <w:rFonts w:cs="Arial"/>
              </w:rPr>
              <w:t>N</w:t>
            </w:r>
            <w:r>
              <w:rPr>
                <w:rFonts w:cs="Arial"/>
                <w:lang w:eastAsia="zh-CN"/>
              </w:rPr>
              <w:t>OTE</w:t>
            </w:r>
            <w:r>
              <w:rPr>
                <w:rFonts w:cs="Arial"/>
              </w:rPr>
              <w:t xml:space="preserve"> 2:</w:t>
            </w:r>
            <w:r>
              <w:rPr>
                <w:rFonts w:cs="Arial"/>
              </w:rPr>
              <w:tab/>
            </w:r>
            <w:r>
              <w:rPr>
                <w:rFonts w:cs="Arial"/>
              </w:rPr>
              <w:t>The same bands and the same Io conditions for each band apply for this requirement as for the corresponding highest accuracy requirement.</w:t>
            </w:r>
          </w:p>
          <w:p w14:paraId="2172DFAF">
            <w:pPr>
              <w:keepNext/>
              <w:keepLines/>
              <w:spacing w:after="0"/>
              <w:ind w:left="851" w:hanging="851"/>
              <w:rPr>
                <w:rFonts w:ascii="Arial" w:hAnsi="Arial"/>
                <w:sz w:val="18"/>
              </w:rPr>
            </w:pPr>
            <w:r>
              <w:rPr>
                <w:rFonts w:ascii="Arial" w:hAnsi="Arial"/>
                <w:sz w:val="18"/>
              </w:rPr>
              <w:t>NOTE 3:</w:t>
            </w:r>
            <w:r>
              <w:rPr>
                <w:rFonts w:ascii="Arial" w:hAnsi="Arial"/>
                <w:sz w:val="18"/>
              </w:rPr>
              <w:tab/>
            </w:r>
            <w:r>
              <w:rPr>
                <w:rFonts w:ascii="Arial" w:hAnsi="Arial"/>
                <w:sz w:val="18"/>
              </w:rPr>
              <w:t>NR operating band groups in FR1 are as defined in clause 3.5.2.</w:t>
            </w:r>
          </w:p>
          <w:p w14:paraId="4EFC10CB">
            <w:pPr>
              <w:keepNext/>
              <w:keepLines/>
              <w:spacing w:after="0"/>
              <w:ind w:left="851" w:hanging="851"/>
              <w:rPr>
                <w:rFonts w:ascii="Arial" w:hAnsi="Arial"/>
                <w:sz w:val="18"/>
              </w:rPr>
            </w:pPr>
            <w:r>
              <w:rPr>
                <w:rFonts w:ascii="Arial" w:hAnsi="Arial"/>
                <w:sz w:val="18"/>
              </w:rPr>
              <w:t>NOTE 4:</w:t>
            </w:r>
            <w:r>
              <w:rPr>
                <w:rFonts w:ascii="Arial" w:hAnsi="Arial"/>
                <w:sz w:val="18"/>
              </w:rPr>
              <w:tab/>
            </w:r>
            <w:r>
              <w:rPr>
                <w:rFonts w:ascii="Arial" w:hAnsi="Arial"/>
                <w:sz w:val="18"/>
                <w:highlight w:val="cyan"/>
              </w:rPr>
              <w:t xml:space="preserve">The requirements apply for CSI-RS Ês/Iot </w:t>
            </w:r>
            <w:r>
              <w:rPr>
                <w:rFonts w:hint="eastAsia" w:ascii="Arial" w:hAnsi="Arial"/>
                <w:sz w:val="18"/>
                <w:highlight w:val="cyan"/>
              </w:rPr>
              <w:t>≤</w:t>
            </w:r>
            <w:r>
              <w:rPr>
                <w:rFonts w:ascii="Arial" w:hAnsi="Arial"/>
                <w:sz w:val="18"/>
                <w:highlight w:val="cyan"/>
              </w:rPr>
              <w:t>XdB. X=15 if timing offset between the reference measurement timing and the target CSI-RS is no larger than 0.5*CP, and X=4 if timing offset between the reference measurement timing and the target CSI-RS is larger than 0.5*CP but no larger than CP.</w:t>
            </w:r>
          </w:p>
        </w:tc>
      </w:tr>
    </w:tbl>
    <w:p w14:paraId="271D506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67534A0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olor w:val="000000"/>
          <w:sz w:val="20"/>
          <w:szCs w:val="20"/>
          <w:lang w:val="en-US" w:eastAsia="zh-CN"/>
        </w:rPr>
      </w:pPr>
      <w:r>
        <w:rPr>
          <w:rFonts w:hint="eastAsia" w:ascii="Times New Roman" w:hAnsi="Times New Roman"/>
          <w:sz w:val="20"/>
          <w:szCs w:val="20"/>
          <w:lang w:val="en-US" w:eastAsia="zh-CN"/>
        </w:rPr>
        <w:t xml:space="preserve">The other way to define L1-SRS-RSRP measurement requirements is to define one set requirements to cover both inter-cell scenario and </w:t>
      </w:r>
      <w:r>
        <w:rPr>
          <w:rFonts w:hint="eastAsia" w:ascii="Times New Roman" w:hAnsi="Times New Roman" w:eastAsia="微软雅黑" w:cs="Times New Roman"/>
          <w:sz w:val="20"/>
          <w:szCs w:val="20"/>
          <w:lang w:val="en-US" w:eastAsia="zh-CN"/>
        </w:rPr>
        <w:t>i</w:t>
      </w:r>
      <w:r>
        <w:rPr>
          <w:rFonts w:ascii="Times New Roman" w:hAnsi="Times New Roman" w:eastAsia="Times New Roman"/>
          <w:color w:val="000000"/>
          <w:sz w:val="20"/>
          <w:szCs w:val="20"/>
          <w:lang w:eastAsia="en-GB"/>
        </w:rPr>
        <w:t>ntr</w:t>
      </w:r>
      <w:r>
        <w:rPr>
          <w:rFonts w:hint="eastAsia" w:ascii="Times New Roman" w:hAnsi="Times New Roman"/>
          <w:color w:val="000000"/>
          <w:sz w:val="20"/>
          <w:szCs w:val="20"/>
          <w:lang w:val="en-US" w:eastAsia="zh-CN"/>
        </w:rPr>
        <w:t>a</w:t>
      </w:r>
      <w:r>
        <w:rPr>
          <w:rFonts w:ascii="Times New Roman" w:hAnsi="Times New Roman" w:eastAsia="Times New Roman"/>
          <w:color w:val="000000"/>
          <w:sz w:val="20"/>
          <w:szCs w:val="20"/>
          <w:lang w:eastAsia="en-GB"/>
        </w:rPr>
        <w:t xml:space="preserve">-cell </w:t>
      </w:r>
      <w:r>
        <w:rPr>
          <w:rFonts w:hint="eastAsia" w:ascii="Times New Roman" w:hAnsi="Times New Roman"/>
          <w:color w:val="000000"/>
          <w:sz w:val="20"/>
          <w:szCs w:val="20"/>
          <w:lang w:val="en-US" w:eastAsia="zh-CN"/>
        </w:rPr>
        <w:t xml:space="preserve">scenario. Following two tables are the existing L3 SRS-RSRP measurement accuracy, which are defined with 3 samples and side condition is SNR larger than 1. </w:t>
      </w:r>
    </w:p>
    <w:p w14:paraId="461FAFD6">
      <w:pPr>
        <w:pStyle w:val="13"/>
      </w:pPr>
      <w:r>
        <w:t xml:space="preserve">Table 10.1.22.1.1-1:  SRS-RSRP absolute accuracy in FR1 </w:t>
      </w:r>
    </w:p>
    <w:tbl>
      <w:tblPr>
        <w:tblStyle w:val="8"/>
        <w:tblW w:w="8739" w:type="dxa"/>
        <w:jc w:val="center"/>
        <w:tblLayout w:type="fixed"/>
        <w:tblCellMar>
          <w:top w:w="0" w:type="dxa"/>
          <w:left w:w="108" w:type="dxa"/>
          <w:bottom w:w="0" w:type="dxa"/>
          <w:right w:w="108" w:type="dxa"/>
        </w:tblCellMar>
      </w:tblPr>
      <w:tblGrid>
        <w:gridCol w:w="583"/>
        <w:gridCol w:w="584"/>
        <w:gridCol w:w="584"/>
        <w:gridCol w:w="584"/>
        <w:gridCol w:w="589"/>
        <w:gridCol w:w="665"/>
        <w:gridCol w:w="536"/>
        <w:gridCol w:w="1240"/>
        <w:gridCol w:w="618"/>
        <w:gridCol w:w="618"/>
        <w:gridCol w:w="620"/>
        <w:gridCol w:w="728"/>
        <w:gridCol w:w="790"/>
      </w:tblGrid>
      <w:tr w14:paraId="519C22E1">
        <w:tblPrEx>
          <w:tblCellMar>
            <w:top w:w="0" w:type="dxa"/>
            <w:left w:w="108" w:type="dxa"/>
            <w:bottom w:w="0" w:type="dxa"/>
            <w:right w:w="108" w:type="dxa"/>
          </w:tblCellMar>
        </w:tblPrEx>
        <w:trPr>
          <w:trHeight w:val="281" w:hRule="atLeast"/>
          <w:jc w:val="center"/>
        </w:trPr>
        <w:tc>
          <w:tcPr>
            <w:tcW w:w="3589" w:type="dxa"/>
            <w:gridSpan w:val="6"/>
            <w:tcBorders>
              <w:top w:val="single" w:color="auto" w:sz="6" w:space="0"/>
              <w:left w:val="single" w:color="auto" w:sz="6" w:space="0"/>
              <w:bottom w:val="single" w:color="auto" w:sz="6" w:space="0"/>
              <w:right w:val="single" w:color="auto" w:sz="6" w:space="0"/>
            </w:tcBorders>
            <w:shd w:val="clear" w:color="auto" w:fill="auto"/>
          </w:tcPr>
          <w:p w14:paraId="48A9840D">
            <w:pPr>
              <w:pStyle w:val="14"/>
              <w:rPr>
                <w:sz w:val="15"/>
                <w:szCs w:val="15"/>
              </w:rPr>
            </w:pPr>
            <w:r>
              <w:rPr>
                <w:sz w:val="15"/>
                <w:szCs w:val="15"/>
              </w:rPr>
              <w:t>Accuracy</w:t>
            </w:r>
          </w:p>
        </w:tc>
        <w:tc>
          <w:tcPr>
            <w:tcW w:w="5150" w:type="dxa"/>
            <w:gridSpan w:val="7"/>
            <w:tcBorders>
              <w:top w:val="single" w:color="auto" w:sz="4" w:space="0"/>
              <w:left w:val="single" w:color="auto" w:sz="6" w:space="0"/>
              <w:bottom w:val="single" w:color="auto" w:sz="6" w:space="0"/>
              <w:right w:val="single" w:color="auto" w:sz="4" w:space="0"/>
            </w:tcBorders>
            <w:shd w:val="clear" w:color="auto" w:fill="auto"/>
          </w:tcPr>
          <w:p w14:paraId="2A3BC25D">
            <w:pPr>
              <w:pStyle w:val="14"/>
              <w:rPr>
                <w:sz w:val="15"/>
                <w:szCs w:val="15"/>
              </w:rPr>
            </w:pPr>
            <w:r>
              <w:rPr>
                <w:sz w:val="15"/>
                <w:szCs w:val="15"/>
              </w:rPr>
              <w:t>Conditions</w:t>
            </w:r>
          </w:p>
        </w:tc>
      </w:tr>
      <w:tr w14:paraId="2CDFDA04">
        <w:tblPrEx>
          <w:tblCellMar>
            <w:top w:w="0" w:type="dxa"/>
            <w:left w:w="108" w:type="dxa"/>
            <w:bottom w:w="0" w:type="dxa"/>
            <w:right w:w="108" w:type="dxa"/>
          </w:tblCellMar>
        </w:tblPrEx>
        <w:trPr>
          <w:trHeight w:val="815" w:hRule="atLeast"/>
          <w:jc w:val="center"/>
        </w:trPr>
        <w:tc>
          <w:tcPr>
            <w:tcW w:w="1751" w:type="dxa"/>
            <w:gridSpan w:val="3"/>
            <w:tcBorders>
              <w:top w:val="single" w:color="auto" w:sz="6" w:space="0"/>
              <w:left w:val="single" w:color="auto" w:sz="6" w:space="0"/>
              <w:right w:val="single" w:color="auto" w:sz="6" w:space="0"/>
            </w:tcBorders>
            <w:shd w:val="clear" w:color="auto" w:fill="auto"/>
          </w:tcPr>
          <w:p w14:paraId="6DF2FB4F">
            <w:pPr>
              <w:pStyle w:val="14"/>
              <w:rPr>
                <w:sz w:val="15"/>
                <w:szCs w:val="15"/>
              </w:rPr>
            </w:pPr>
            <w:r>
              <w:rPr>
                <w:sz w:val="15"/>
                <w:szCs w:val="15"/>
              </w:rPr>
              <w:t>Normal condition</w:t>
            </w:r>
          </w:p>
        </w:tc>
        <w:tc>
          <w:tcPr>
            <w:tcW w:w="1838" w:type="dxa"/>
            <w:gridSpan w:val="3"/>
            <w:tcBorders>
              <w:top w:val="single" w:color="auto" w:sz="4" w:space="0"/>
              <w:left w:val="single" w:color="auto" w:sz="6" w:space="0"/>
              <w:right w:val="single" w:color="auto" w:sz="6" w:space="0"/>
            </w:tcBorders>
            <w:shd w:val="clear" w:color="auto" w:fill="auto"/>
          </w:tcPr>
          <w:p w14:paraId="1DA00348">
            <w:pPr>
              <w:pStyle w:val="14"/>
              <w:rPr>
                <w:sz w:val="15"/>
                <w:szCs w:val="15"/>
              </w:rPr>
            </w:pPr>
            <w:r>
              <w:rPr>
                <w:sz w:val="15"/>
                <w:szCs w:val="15"/>
              </w:rPr>
              <w:t>Extreme condition</w:t>
            </w:r>
          </w:p>
        </w:tc>
        <w:tc>
          <w:tcPr>
            <w:tcW w:w="536" w:type="dxa"/>
            <w:tcBorders>
              <w:top w:val="single" w:color="auto" w:sz="6" w:space="0"/>
              <w:left w:val="single" w:color="auto" w:sz="6" w:space="0"/>
              <w:right w:val="single" w:color="auto" w:sz="6" w:space="0"/>
            </w:tcBorders>
            <w:shd w:val="clear" w:color="auto" w:fill="auto"/>
          </w:tcPr>
          <w:p w14:paraId="1EAAA51E">
            <w:pPr>
              <w:pStyle w:val="14"/>
              <w:rPr>
                <w:sz w:val="15"/>
                <w:szCs w:val="15"/>
              </w:rPr>
            </w:pPr>
            <w:r>
              <w:rPr>
                <w:sz w:val="15"/>
                <w:szCs w:val="15"/>
              </w:rPr>
              <w:t>SRS Ês/Iot</w:t>
            </w:r>
          </w:p>
        </w:tc>
        <w:tc>
          <w:tcPr>
            <w:tcW w:w="4614" w:type="dxa"/>
            <w:gridSpan w:val="6"/>
            <w:tcBorders>
              <w:top w:val="single" w:color="auto" w:sz="6" w:space="0"/>
              <w:left w:val="single" w:color="auto" w:sz="6" w:space="0"/>
              <w:bottom w:val="single" w:color="auto" w:sz="6" w:space="0"/>
              <w:right w:val="single" w:color="auto" w:sz="4" w:space="0"/>
            </w:tcBorders>
            <w:shd w:val="clear" w:color="auto" w:fill="auto"/>
          </w:tcPr>
          <w:p w14:paraId="138D4013">
            <w:pPr>
              <w:pStyle w:val="14"/>
              <w:rPr>
                <w:sz w:val="15"/>
                <w:szCs w:val="15"/>
              </w:rPr>
            </w:pPr>
            <w:r>
              <w:rPr>
                <w:sz w:val="15"/>
                <w:szCs w:val="15"/>
              </w:rPr>
              <w:t>Io</w:t>
            </w:r>
            <w:r>
              <w:rPr>
                <w:sz w:val="15"/>
                <w:szCs w:val="15"/>
                <w:vertAlign w:val="superscript"/>
              </w:rPr>
              <w:t xml:space="preserve"> Note 1</w:t>
            </w:r>
            <w:r>
              <w:rPr>
                <w:sz w:val="15"/>
                <w:szCs w:val="15"/>
              </w:rPr>
              <w:t xml:space="preserve"> range</w:t>
            </w:r>
          </w:p>
        </w:tc>
      </w:tr>
      <w:tr w14:paraId="2F02D05E">
        <w:tblPrEx>
          <w:tblCellMar>
            <w:top w:w="0" w:type="dxa"/>
            <w:left w:w="108" w:type="dxa"/>
            <w:bottom w:w="0" w:type="dxa"/>
            <w:right w:w="108" w:type="dxa"/>
          </w:tblCellMar>
        </w:tblPrEx>
        <w:trPr>
          <w:trHeight w:val="815" w:hRule="atLeast"/>
          <w:jc w:val="center"/>
        </w:trPr>
        <w:tc>
          <w:tcPr>
            <w:tcW w:w="1751" w:type="dxa"/>
            <w:gridSpan w:val="3"/>
            <w:tcBorders>
              <w:left w:val="single" w:color="auto" w:sz="6" w:space="0"/>
              <w:bottom w:val="single" w:color="auto" w:sz="6" w:space="0"/>
              <w:right w:val="single" w:color="auto" w:sz="6" w:space="0"/>
            </w:tcBorders>
            <w:shd w:val="clear" w:color="auto" w:fill="auto"/>
          </w:tcPr>
          <w:p w14:paraId="22BB9F60">
            <w:pPr>
              <w:pStyle w:val="14"/>
              <w:rPr>
                <w:sz w:val="15"/>
                <w:szCs w:val="15"/>
              </w:rPr>
            </w:pPr>
          </w:p>
        </w:tc>
        <w:tc>
          <w:tcPr>
            <w:tcW w:w="1838" w:type="dxa"/>
            <w:gridSpan w:val="3"/>
            <w:tcBorders>
              <w:left w:val="single" w:color="auto" w:sz="6" w:space="0"/>
              <w:bottom w:val="single" w:color="auto" w:sz="6" w:space="0"/>
              <w:right w:val="single" w:color="auto" w:sz="6" w:space="0"/>
            </w:tcBorders>
            <w:shd w:val="clear" w:color="auto" w:fill="auto"/>
          </w:tcPr>
          <w:p w14:paraId="12DDEA23">
            <w:pPr>
              <w:pStyle w:val="14"/>
              <w:rPr>
                <w:sz w:val="15"/>
                <w:szCs w:val="15"/>
              </w:rPr>
            </w:pPr>
          </w:p>
        </w:tc>
        <w:tc>
          <w:tcPr>
            <w:tcW w:w="536" w:type="dxa"/>
            <w:tcBorders>
              <w:left w:val="single" w:color="auto" w:sz="6" w:space="0"/>
              <w:bottom w:val="single" w:color="auto" w:sz="6" w:space="0"/>
              <w:right w:val="single" w:color="auto" w:sz="6" w:space="0"/>
            </w:tcBorders>
            <w:shd w:val="clear" w:color="auto" w:fill="auto"/>
          </w:tcPr>
          <w:p w14:paraId="666C0665">
            <w:pPr>
              <w:pStyle w:val="14"/>
              <w:rPr>
                <w:sz w:val="15"/>
                <w:szCs w:val="15"/>
              </w:rPr>
            </w:pPr>
          </w:p>
        </w:tc>
        <w:tc>
          <w:tcPr>
            <w:tcW w:w="1240" w:type="dxa"/>
            <w:tcBorders>
              <w:top w:val="single" w:color="auto" w:sz="6" w:space="0"/>
              <w:left w:val="single" w:color="auto" w:sz="6" w:space="0"/>
              <w:bottom w:val="single" w:color="auto" w:sz="6" w:space="0"/>
              <w:right w:val="single" w:color="auto" w:sz="4" w:space="0"/>
            </w:tcBorders>
            <w:shd w:val="clear" w:color="auto" w:fill="auto"/>
          </w:tcPr>
          <w:p w14:paraId="593E4E0C">
            <w:pPr>
              <w:pStyle w:val="14"/>
              <w:rPr>
                <w:sz w:val="15"/>
                <w:szCs w:val="15"/>
              </w:rPr>
            </w:pPr>
            <w:r>
              <w:rPr>
                <w:sz w:val="15"/>
                <w:szCs w:val="15"/>
              </w:rPr>
              <w:t>NR operating band groups</w:t>
            </w:r>
            <w:r>
              <w:rPr>
                <w:sz w:val="15"/>
                <w:szCs w:val="15"/>
                <w:vertAlign w:val="superscript"/>
              </w:rPr>
              <w:t xml:space="preserve"> Note 2</w:t>
            </w:r>
          </w:p>
        </w:tc>
        <w:tc>
          <w:tcPr>
            <w:tcW w:w="2584" w:type="dxa"/>
            <w:gridSpan w:val="4"/>
            <w:tcBorders>
              <w:top w:val="single" w:color="auto" w:sz="4" w:space="0"/>
              <w:left w:val="single" w:color="auto" w:sz="4" w:space="0"/>
              <w:bottom w:val="single" w:color="auto" w:sz="6" w:space="0"/>
              <w:right w:val="single" w:color="auto" w:sz="6" w:space="0"/>
            </w:tcBorders>
            <w:shd w:val="clear" w:color="auto" w:fill="auto"/>
          </w:tcPr>
          <w:p w14:paraId="4644F7C7">
            <w:pPr>
              <w:pStyle w:val="14"/>
              <w:rPr>
                <w:sz w:val="15"/>
                <w:szCs w:val="15"/>
              </w:rPr>
            </w:pPr>
            <w:r>
              <w:rPr>
                <w:sz w:val="15"/>
                <w:szCs w:val="15"/>
              </w:rPr>
              <w:t>Minimum Io</w:t>
            </w:r>
          </w:p>
        </w:tc>
        <w:tc>
          <w:tcPr>
            <w:tcW w:w="790" w:type="dxa"/>
            <w:tcBorders>
              <w:top w:val="single" w:color="auto" w:sz="4" w:space="0"/>
              <w:left w:val="single" w:color="auto" w:sz="6" w:space="0"/>
              <w:bottom w:val="single" w:color="auto" w:sz="6" w:space="0"/>
              <w:right w:val="single" w:color="auto" w:sz="4" w:space="0"/>
            </w:tcBorders>
            <w:shd w:val="clear" w:color="auto" w:fill="auto"/>
          </w:tcPr>
          <w:p w14:paraId="5EE269D4">
            <w:pPr>
              <w:pStyle w:val="14"/>
              <w:rPr>
                <w:sz w:val="15"/>
                <w:szCs w:val="15"/>
              </w:rPr>
            </w:pPr>
            <w:r>
              <w:rPr>
                <w:sz w:val="15"/>
                <w:szCs w:val="15"/>
              </w:rPr>
              <w:t>Maximum Io</w:t>
            </w:r>
          </w:p>
        </w:tc>
      </w:tr>
      <w:tr w14:paraId="0754A188">
        <w:tblPrEx>
          <w:tblCellMar>
            <w:top w:w="0" w:type="dxa"/>
            <w:left w:w="108" w:type="dxa"/>
            <w:bottom w:w="0" w:type="dxa"/>
            <w:right w:w="108" w:type="dxa"/>
          </w:tblCellMar>
        </w:tblPrEx>
        <w:trPr>
          <w:trHeight w:val="722" w:hRule="atLeast"/>
          <w:jc w:val="center"/>
        </w:trPr>
        <w:tc>
          <w:tcPr>
            <w:tcW w:w="3589" w:type="dxa"/>
            <w:gridSpan w:val="6"/>
            <w:tcBorders>
              <w:top w:val="single" w:color="auto" w:sz="6" w:space="0"/>
              <w:left w:val="single" w:color="auto" w:sz="6" w:space="0"/>
              <w:bottom w:val="single" w:color="auto" w:sz="6" w:space="0"/>
              <w:right w:val="single" w:color="auto" w:sz="6" w:space="0"/>
            </w:tcBorders>
            <w:shd w:val="clear" w:color="auto" w:fill="auto"/>
          </w:tcPr>
          <w:p w14:paraId="1A0084A3">
            <w:pPr>
              <w:pStyle w:val="14"/>
              <w:rPr>
                <w:sz w:val="15"/>
                <w:szCs w:val="15"/>
                <w:lang w:eastAsia="zh-CN"/>
              </w:rPr>
            </w:pPr>
            <w:r>
              <w:rPr>
                <w:sz w:val="15"/>
                <w:szCs w:val="15"/>
              </w:rPr>
              <w:t>dB</w:t>
            </w:r>
          </w:p>
        </w:tc>
        <w:tc>
          <w:tcPr>
            <w:tcW w:w="536" w:type="dxa"/>
            <w:tcBorders>
              <w:top w:val="single" w:color="auto" w:sz="6" w:space="0"/>
              <w:left w:val="single" w:color="auto" w:sz="6" w:space="0"/>
              <w:right w:val="single" w:color="auto" w:sz="6" w:space="0"/>
            </w:tcBorders>
            <w:shd w:val="clear" w:color="auto" w:fill="auto"/>
          </w:tcPr>
          <w:p w14:paraId="20ED1691">
            <w:pPr>
              <w:pStyle w:val="14"/>
              <w:rPr>
                <w:sz w:val="15"/>
                <w:szCs w:val="15"/>
              </w:rPr>
            </w:pPr>
            <w:r>
              <w:rPr>
                <w:sz w:val="15"/>
                <w:szCs w:val="15"/>
              </w:rPr>
              <w:t>dB</w:t>
            </w:r>
          </w:p>
        </w:tc>
        <w:tc>
          <w:tcPr>
            <w:tcW w:w="1240" w:type="dxa"/>
            <w:tcBorders>
              <w:top w:val="single" w:color="auto" w:sz="6" w:space="0"/>
              <w:left w:val="single" w:color="auto" w:sz="6" w:space="0"/>
              <w:right w:val="single" w:color="auto" w:sz="4" w:space="0"/>
            </w:tcBorders>
            <w:shd w:val="clear" w:color="auto" w:fill="auto"/>
          </w:tcPr>
          <w:p w14:paraId="428778BD">
            <w:pPr>
              <w:pStyle w:val="14"/>
              <w:rPr>
                <w:sz w:val="15"/>
                <w:szCs w:val="15"/>
              </w:rPr>
            </w:pPr>
          </w:p>
        </w:tc>
        <w:tc>
          <w:tcPr>
            <w:tcW w:w="1856" w:type="dxa"/>
            <w:gridSpan w:val="3"/>
            <w:tcBorders>
              <w:top w:val="single" w:color="auto" w:sz="6" w:space="0"/>
              <w:left w:val="single" w:color="auto" w:sz="4" w:space="0"/>
              <w:right w:val="single" w:color="auto" w:sz="6" w:space="0"/>
            </w:tcBorders>
            <w:shd w:val="clear" w:color="auto" w:fill="auto"/>
          </w:tcPr>
          <w:p w14:paraId="622FD01C">
            <w:pPr>
              <w:pStyle w:val="14"/>
              <w:rPr>
                <w:sz w:val="15"/>
                <w:szCs w:val="15"/>
              </w:rPr>
            </w:pPr>
            <w:r>
              <w:rPr>
                <w:rFonts w:cs="Arial"/>
                <w:sz w:val="15"/>
                <w:szCs w:val="15"/>
              </w:rPr>
              <w:t xml:space="preserve">dBm / </w:t>
            </w:r>
            <w:r>
              <w:rPr>
                <w:sz w:val="15"/>
                <w:szCs w:val="15"/>
              </w:rPr>
              <w:t>SCS</w:t>
            </w:r>
            <w:r>
              <w:rPr>
                <w:sz w:val="15"/>
                <w:szCs w:val="15"/>
                <w:vertAlign w:val="subscript"/>
              </w:rPr>
              <w:t>SRS</w:t>
            </w:r>
          </w:p>
        </w:tc>
        <w:tc>
          <w:tcPr>
            <w:tcW w:w="728" w:type="dxa"/>
            <w:tcBorders>
              <w:top w:val="single" w:color="auto" w:sz="6" w:space="0"/>
              <w:left w:val="single" w:color="auto" w:sz="6" w:space="0"/>
              <w:right w:val="single" w:color="auto" w:sz="6" w:space="0"/>
            </w:tcBorders>
            <w:shd w:val="clear" w:color="auto" w:fill="auto"/>
          </w:tcPr>
          <w:p w14:paraId="5F4FC020">
            <w:pPr>
              <w:pStyle w:val="14"/>
              <w:rPr>
                <w:sz w:val="15"/>
                <w:szCs w:val="15"/>
              </w:rPr>
            </w:pPr>
            <w:r>
              <w:rPr>
                <w:sz w:val="15"/>
                <w:szCs w:val="15"/>
              </w:rPr>
              <w:t xml:space="preserve">dBm/BW </w:t>
            </w:r>
            <w:r>
              <w:rPr>
                <w:sz w:val="15"/>
                <w:szCs w:val="15"/>
                <w:vertAlign w:val="subscript"/>
              </w:rPr>
              <w:t>Channel</w:t>
            </w:r>
          </w:p>
        </w:tc>
        <w:tc>
          <w:tcPr>
            <w:tcW w:w="790" w:type="dxa"/>
            <w:tcBorders>
              <w:top w:val="single" w:color="auto" w:sz="6" w:space="0"/>
              <w:left w:val="single" w:color="auto" w:sz="6" w:space="0"/>
              <w:right w:val="single" w:color="auto" w:sz="4" w:space="0"/>
            </w:tcBorders>
            <w:shd w:val="clear" w:color="auto" w:fill="auto"/>
          </w:tcPr>
          <w:p w14:paraId="118A726E">
            <w:pPr>
              <w:pStyle w:val="14"/>
              <w:rPr>
                <w:sz w:val="15"/>
                <w:szCs w:val="15"/>
              </w:rPr>
            </w:pPr>
            <w:r>
              <w:rPr>
                <w:sz w:val="15"/>
                <w:szCs w:val="15"/>
              </w:rPr>
              <w:t xml:space="preserve">dBm/BW </w:t>
            </w:r>
            <w:r>
              <w:rPr>
                <w:sz w:val="15"/>
                <w:szCs w:val="15"/>
                <w:vertAlign w:val="subscript"/>
              </w:rPr>
              <w:t>Channel</w:t>
            </w:r>
          </w:p>
        </w:tc>
      </w:tr>
      <w:tr w14:paraId="1AD6B608">
        <w:tblPrEx>
          <w:tblCellMar>
            <w:top w:w="0" w:type="dxa"/>
            <w:left w:w="108" w:type="dxa"/>
            <w:bottom w:w="0" w:type="dxa"/>
            <w:right w:w="108" w:type="dxa"/>
          </w:tblCellMar>
        </w:tblPrEx>
        <w:trPr>
          <w:trHeight w:val="281" w:hRule="atLeast"/>
          <w:jc w:val="center"/>
        </w:trPr>
        <w:tc>
          <w:tcPr>
            <w:tcW w:w="1751" w:type="dxa"/>
            <w:gridSpan w:val="3"/>
            <w:tcBorders>
              <w:top w:val="single" w:color="auto" w:sz="6" w:space="0"/>
              <w:left w:val="single" w:color="auto" w:sz="6" w:space="0"/>
              <w:bottom w:val="single" w:color="auto" w:sz="6" w:space="0"/>
              <w:right w:val="single" w:color="auto" w:sz="6" w:space="0"/>
            </w:tcBorders>
            <w:shd w:val="clear" w:color="auto" w:fill="auto"/>
          </w:tcPr>
          <w:p w14:paraId="54C5A164">
            <w:pPr>
              <w:pStyle w:val="14"/>
              <w:rPr>
                <w:sz w:val="15"/>
                <w:szCs w:val="15"/>
              </w:rPr>
            </w:pPr>
            <w:r>
              <w:rPr>
                <w:sz w:val="15"/>
                <w:szCs w:val="15"/>
              </w:rPr>
              <w:t>SCS</w:t>
            </w:r>
            <w:r>
              <w:rPr>
                <w:sz w:val="15"/>
                <w:szCs w:val="15"/>
                <w:vertAlign w:val="subscript"/>
              </w:rPr>
              <w:t>SRS</w:t>
            </w:r>
            <w:r>
              <w:rPr>
                <w:sz w:val="15"/>
                <w:szCs w:val="15"/>
              </w:rPr>
              <w:t xml:space="preserve"> (kHz)</w:t>
            </w:r>
          </w:p>
        </w:tc>
        <w:tc>
          <w:tcPr>
            <w:tcW w:w="1838" w:type="dxa"/>
            <w:gridSpan w:val="3"/>
            <w:tcBorders>
              <w:top w:val="single" w:color="auto" w:sz="6" w:space="0"/>
              <w:left w:val="single" w:color="auto" w:sz="6" w:space="0"/>
              <w:bottom w:val="single" w:color="auto" w:sz="6" w:space="0"/>
              <w:right w:val="single" w:color="auto" w:sz="6" w:space="0"/>
            </w:tcBorders>
            <w:shd w:val="clear" w:color="auto" w:fill="auto"/>
          </w:tcPr>
          <w:p w14:paraId="3CCD6201">
            <w:pPr>
              <w:pStyle w:val="14"/>
              <w:rPr>
                <w:sz w:val="15"/>
                <w:szCs w:val="15"/>
              </w:rPr>
            </w:pPr>
            <w:r>
              <w:rPr>
                <w:sz w:val="15"/>
                <w:szCs w:val="15"/>
              </w:rPr>
              <w:t>SCS</w:t>
            </w:r>
            <w:r>
              <w:rPr>
                <w:sz w:val="15"/>
                <w:szCs w:val="15"/>
                <w:vertAlign w:val="subscript"/>
              </w:rPr>
              <w:t>SRS</w:t>
            </w:r>
            <w:r>
              <w:rPr>
                <w:sz w:val="15"/>
                <w:szCs w:val="15"/>
              </w:rPr>
              <w:t xml:space="preserve"> (kHz)</w:t>
            </w:r>
          </w:p>
        </w:tc>
        <w:tc>
          <w:tcPr>
            <w:tcW w:w="536" w:type="dxa"/>
            <w:tcBorders>
              <w:left w:val="single" w:color="auto" w:sz="6" w:space="0"/>
              <w:right w:val="single" w:color="auto" w:sz="6" w:space="0"/>
            </w:tcBorders>
            <w:shd w:val="clear" w:color="auto" w:fill="auto"/>
          </w:tcPr>
          <w:p w14:paraId="2E3590B0">
            <w:pPr>
              <w:pStyle w:val="14"/>
              <w:rPr>
                <w:sz w:val="15"/>
                <w:szCs w:val="15"/>
              </w:rPr>
            </w:pPr>
          </w:p>
        </w:tc>
        <w:tc>
          <w:tcPr>
            <w:tcW w:w="1240" w:type="dxa"/>
            <w:tcBorders>
              <w:left w:val="single" w:color="auto" w:sz="6" w:space="0"/>
              <w:right w:val="single" w:color="auto" w:sz="4" w:space="0"/>
            </w:tcBorders>
            <w:shd w:val="clear" w:color="auto" w:fill="auto"/>
          </w:tcPr>
          <w:p w14:paraId="57FC7EFC">
            <w:pPr>
              <w:pStyle w:val="14"/>
              <w:rPr>
                <w:sz w:val="15"/>
                <w:szCs w:val="15"/>
              </w:rPr>
            </w:pPr>
          </w:p>
        </w:tc>
        <w:tc>
          <w:tcPr>
            <w:tcW w:w="1856" w:type="dxa"/>
            <w:gridSpan w:val="3"/>
            <w:tcBorders>
              <w:left w:val="single" w:color="auto" w:sz="4" w:space="0"/>
              <w:bottom w:val="single" w:color="auto" w:sz="6" w:space="0"/>
              <w:right w:val="single" w:color="auto" w:sz="6" w:space="0"/>
            </w:tcBorders>
            <w:shd w:val="clear" w:color="auto" w:fill="auto"/>
          </w:tcPr>
          <w:p w14:paraId="0CA07B97">
            <w:pPr>
              <w:pStyle w:val="14"/>
              <w:rPr>
                <w:rFonts w:cs="Arial"/>
                <w:sz w:val="15"/>
                <w:szCs w:val="15"/>
              </w:rPr>
            </w:pPr>
          </w:p>
        </w:tc>
        <w:tc>
          <w:tcPr>
            <w:tcW w:w="728" w:type="dxa"/>
            <w:tcBorders>
              <w:left w:val="single" w:color="auto" w:sz="6" w:space="0"/>
              <w:right w:val="single" w:color="auto" w:sz="6" w:space="0"/>
            </w:tcBorders>
            <w:shd w:val="clear" w:color="auto" w:fill="auto"/>
          </w:tcPr>
          <w:p w14:paraId="03B214DE">
            <w:pPr>
              <w:pStyle w:val="14"/>
              <w:rPr>
                <w:sz w:val="15"/>
                <w:szCs w:val="15"/>
              </w:rPr>
            </w:pPr>
          </w:p>
        </w:tc>
        <w:tc>
          <w:tcPr>
            <w:tcW w:w="790" w:type="dxa"/>
            <w:tcBorders>
              <w:left w:val="single" w:color="auto" w:sz="6" w:space="0"/>
              <w:right w:val="single" w:color="auto" w:sz="4" w:space="0"/>
            </w:tcBorders>
            <w:shd w:val="clear" w:color="auto" w:fill="auto"/>
          </w:tcPr>
          <w:p w14:paraId="61D74749">
            <w:pPr>
              <w:pStyle w:val="14"/>
              <w:rPr>
                <w:sz w:val="15"/>
                <w:szCs w:val="15"/>
              </w:rPr>
            </w:pPr>
          </w:p>
        </w:tc>
      </w:tr>
      <w:tr w14:paraId="5D9C11DB">
        <w:tblPrEx>
          <w:tblCellMar>
            <w:top w:w="0" w:type="dxa"/>
            <w:left w:w="108" w:type="dxa"/>
            <w:bottom w:w="0" w:type="dxa"/>
            <w:right w:w="108" w:type="dxa"/>
          </w:tblCellMar>
        </w:tblPrEx>
        <w:trPr>
          <w:trHeight w:val="815" w:hRule="atLeast"/>
          <w:jc w:val="center"/>
        </w:trPr>
        <w:tc>
          <w:tcPr>
            <w:tcW w:w="583" w:type="dxa"/>
            <w:tcBorders>
              <w:top w:val="single" w:color="auto" w:sz="6" w:space="0"/>
              <w:left w:val="single" w:color="auto" w:sz="6" w:space="0"/>
              <w:bottom w:val="single" w:color="auto" w:sz="4" w:space="0"/>
              <w:right w:val="single" w:color="auto" w:sz="6" w:space="0"/>
            </w:tcBorders>
            <w:shd w:val="clear" w:color="auto" w:fill="auto"/>
          </w:tcPr>
          <w:p w14:paraId="3A1203B5">
            <w:pPr>
              <w:pStyle w:val="14"/>
              <w:rPr>
                <w:sz w:val="15"/>
                <w:szCs w:val="15"/>
                <w:lang w:eastAsia="zh-CN"/>
              </w:rPr>
            </w:pPr>
            <w:r>
              <w:rPr>
                <w:rFonts w:hint="eastAsia"/>
                <w:sz w:val="15"/>
                <w:szCs w:val="15"/>
                <w:lang w:eastAsia="zh-CN"/>
              </w:rPr>
              <w:t>1</w:t>
            </w:r>
            <w:r>
              <w:rPr>
                <w:sz w:val="15"/>
                <w:szCs w:val="15"/>
                <w:lang w:eastAsia="zh-CN"/>
              </w:rPr>
              <w:t>5</w:t>
            </w:r>
          </w:p>
        </w:tc>
        <w:tc>
          <w:tcPr>
            <w:tcW w:w="584" w:type="dxa"/>
            <w:tcBorders>
              <w:top w:val="single" w:color="auto" w:sz="6" w:space="0"/>
              <w:left w:val="single" w:color="auto" w:sz="6" w:space="0"/>
              <w:bottom w:val="single" w:color="auto" w:sz="4" w:space="0"/>
              <w:right w:val="single" w:color="auto" w:sz="6" w:space="0"/>
            </w:tcBorders>
            <w:shd w:val="clear" w:color="auto" w:fill="auto"/>
          </w:tcPr>
          <w:p w14:paraId="60251670">
            <w:pPr>
              <w:pStyle w:val="14"/>
              <w:rPr>
                <w:sz w:val="15"/>
                <w:szCs w:val="15"/>
                <w:lang w:eastAsia="zh-CN"/>
              </w:rPr>
            </w:pPr>
            <w:r>
              <w:rPr>
                <w:rFonts w:hint="eastAsia"/>
                <w:sz w:val="15"/>
                <w:szCs w:val="15"/>
                <w:lang w:eastAsia="zh-CN"/>
              </w:rPr>
              <w:t>3</w:t>
            </w:r>
            <w:r>
              <w:rPr>
                <w:sz w:val="15"/>
                <w:szCs w:val="15"/>
                <w:lang w:eastAsia="zh-CN"/>
              </w:rPr>
              <w:t>0</w:t>
            </w:r>
          </w:p>
        </w:tc>
        <w:tc>
          <w:tcPr>
            <w:tcW w:w="584" w:type="dxa"/>
            <w:tcBorders>
              <w:top w:val="single" w:color="auto" w:sz="6" w:space="0"/>
              <w:left w:val="single" w:color="auto" w:sz="6" w:space="0"/>
              <w:bottom w:val="single" w:color="auto" w:sz="4" w:space="0"/>
              <w:right w:val="single" w:color="auto" w:sz="6" w:space="0"/>
            </w:tcBorders>
            <w:shd w:val="clear" w:color="auto" w:fill="auto"/>
          </w:tcPr>
          <w:p w14:paraId="09DA9ECF">
            <w:pPr>
              <w:pStyle w:val="14"/>
              <w:rPr>
                <w:sz w:val="15"/>
                <w:szCs w:val="15"/>
                <w:lang w:eastAsia="zh-CN"/>
              </w:rPr>
            </w:pPr>
            <w:r>
              <w:rPr>
                <w:rFonts w:hint="eastAsia"/>
                <w:sz w:val="15"/>
                <w:szCs w:val="15"/>
                <w:lang w:eastAsia="zh-CN"/>
              </w:rPr>
              <w:t>6</w:t>
            </w:r>
            <w:r>
              <w:rPr>
                <w:sz w:val="15"/>
                <w:szCs w:val="15"/>
                <w:lang w:eastAsia="zh-CN"/>
              </w:rPr>
              <w:t>0</w:t>
            </w:r>
          </w:p>
        </w:tc>
        <w:tc>
          <w:tcPr>
            <w:tcW w:w="584" w:type="dxa"/>
            <w:tcBorders>
              <w:top w:val="single" w:color="auto" w:sz="6" w:space="0"/>
              <w:left w:val="single" w:color="auto" w:sz="6" w:space="0"/>
              <w:bottom w:val="single" w:color="auto" w:sz="4" w:space="0"/>
              <w:right w:val="single" w:color="auto" w:sz="6" w:space="0"/>
            </w:tcBorders>
            <w:shd w:val="clear" w:color="auto" w:fill="auto"/>
          </w:tcPr>
          <w:p w14:paraId="230B0FB1">
            <w:pPr>
              <w:pStyle w:val="14"/>
              <w:rPr>
                <w:sz w:val="15"/>
                <w:szCs w:val="15"/>
              </w:rPr>
            </w:pPr>
            <w:r>
              <w:rPr>
                <w:rFonts w:hint="eastAsia"/>
                <w:sz w:val="15"/>
                <w:szCs w:val="15"/>
                <w:lang w:eastAsia="zh-CN"/>
              </w:rPr>
              <w:t>1</w:t>
            </w:r>
            <w:r>
              <w:rPr>
                <w:sz w:val="15"/>
                <w:szCs w:val="15"/>
                <w:lang w:eastAsia="zh-CN"/>
              </w:rPr>
              <w:t>5</w:t>
            </w:r>
          </w:p>
        </w:tc>
        <w:tc>
          <w:tcPr>
            <w:tcW w:w="589" w:type="dxa"/>
            <w:tcBorders>
              <w:top w:val="single" w:color="auto" w:sz="6" w:space="0"/>
              <w:left w:val="single" w:color="auto" w:sz="6" w:space="0"/>
              <w:bottom w:val="single" w:color="auto" w:sz="4" w:space="0"/>
              <w:right w:val="single" w:color="auto" w:sz="6" w:space="0"/>
            </w:tcBorders>
            <w:shd w:val="clear" w:color="auto" w:fill="auto"/>
          </w:tcPr>
          <w:p w14:paraId="7A65BE62">
            <w:pPr>
              <w:pStyle w:val="14"/>
              <w:rPr>
                <w:sz w:val="15"/>
                <w:szCs w:val="15"/>
              </w:rPr>
            </w:pPr>
            <w:r>
              <w:rPr>
                <w:rFonts w:hint="eastAsia"/>
                <w:sz w:val="15"/>
                <w:szCs w:val="15"/>
                <w:lang w:eastAsia="zh-CN"/>
              </w:rPr>
              <w:t>3</w:t>
            </w:r>
            <w:r>
              <w:rPr>
                <w:sz w:val="15"/>
                <w:szCs w:val="15"/>
                <w:lang w:eastAsia="zh-CN"/>
              </w:rPr>
              <w:t>0</w:t>
            </w:r>
          </w:p>
        </w:tc>
        <w:tc>
          <w:tcPr>
            <w:tcW w:w="665" w:type="dxa"/>
            <w:tcBorders>
              <w:top w:val="single" w:color="auto" w:sz="6" w:space="0"/>
              <w:left w:val="single" w:color="auto" w:sz="6" w:space="0"/>
              <w:bottom w:val="single" w:color="auto" w:sz="4" w:space="0"/>
              <w:right w:val="single" w:color="auto" w:sz="6" w:space="0"/>
            </w:tcBorders>
            <w:shd w:val="clear" w:color="auto" w:fill="auto"/>
          </w:tcPr>
          <w:p w14:paraId="2C45A193">
            <w:pPr>
              <w:pStyle w:val="14"/>
              <w:rPr>
                <w:sz w:val="15"/>
                <w:szCs w:val="15"/>
              </w:rPr>
            </w:pPr>
            <w:r>
              <w:rPr>
                <w:rFonts w:hint="eastAsia"/>
                <w:sz w:val="15"/>
                <w:szCs w:val="15"/>
                <w:lang w:eastAsia="zh-CN"/>
              </w:rPr>
              <w:t>6</w:t>
            </w:r>
            <w:r>
              <w:rPr>
                <w:sz w:val="15"/>
                <w:szCs w:val="15"/>
                <w:lang w:eastAsia="zh-CN"/>
              </w:rPr>
              <w:t>0</w:t>
            </w:r>
          </w:p>
        </w:tc>
        <w:tc>
          <w:tcPr>
            <w:tcW w:w="536" w:type="dxa"/>
            <w:tcBorders>
              <w:left w:val="single" w:color="auto" w:sz="6" w:space="0"/>
              <w:bottom w:val="single" w:color="auto" w:sz="4" w:space="0"/>
              <w:right w:val="single" w:color="auto" w:sz="6" w:space="0"/>
            </w:tcBorders>
            <w:shd w:val="clear" w:color="auto" w:fill="auto"/>
          </w:tcPr>
          <w:p w14:paraId="06545481">
            <w:pPr>
              <w:pStyle w:val="14"/>
              <w:rPr>
                <w:sz w:val="15"/>
                <w:szCs w:val="15"/>
              </w:rPr>
            </w:pPr>
          </w:p>
        </w:tc>
        <w:tc>
          <w:tcPr>
            <w:tcW w:w="1240" w:type="dxa"/>
            <w:tcBorders>
              <w:left w:val="single" w:color="auto" w:sz="6" w:space="0"/>
              <w:right w:val="single" w:color="auto" w:sz="4" w:space="0"/>
            </w:tcBorders>
            <w:shd w:val="clear" w:color="auto" w:fill="auto"/>
          </w:tcPr>
          <w:p w14:paraId="6C3A9301">
            <w:pPr>
              <w:pStyle w:val="14"/>
              <w:rPr>
                <w:sz w:val="15"/>
                <w:szCs w:val="15"/>
              </w:rPr>
            </w:pPr>
          </w:p>
        </w:tc>
        <w:tc>
          <w:tcPr>
            <w:tcW w:w="618" w:type="dxa"/>
            <w:tcBorders>
              <w:top w:val="single" w:color="auto" w:sz="6" w:space="0"/>
              <w:left w:val="single" w:color="auto" w:sz="4" w:space="0"/>
              <w:right w:val="single" w:color="auto" w:sz="6" w:space="0"/>
            </w:tcBorders>
            <w:shd w:val="clear" w:color="auto" w:fill="auto"/>
          </w:tcPr>
          <w:p w14:paraId="1E268BC5">
            <w:pPr>
              <w:pStyle w:val="14"/>
              <w:rPr>
                <w:rFonts w:cs="Arial"/>
                <w:sz w:val="15"/>
                <w:szCs w:val="15"/>
              </w:rPr>
            </w:pPr>
            <w:r>
              <w:rPr>
                <w:sz w:val="15"/>
                <w:szCs w:val="15"/>
              </w:rPr>
              <w:t>SCS</w:t>
            </w:r>
            <w:r>
              <w:rPr>
                <w:sz w:val="15"/>
                <w:szCs w:val="15"/>
                <w:vertAlign w:val="subscript"/>
              </w:rPr>
              <w:t>SRS</w:t>
            </w:r>
            <w:r>
              <w:rPr>
                <w:rFonts w:cs="Arial"/>
                <w:sz w:val="15"/>
                <w:szCs w:val="15"/>
              </w:rPr>
              <w:t xml:space="preserve"> = 15 kHz</w:t>
            </w:r>
          </w:p>
        </w:tc>
        <w:tc>
          <w:tcPr>
            <w:tcW w:w="618" w:type="dxa"/>
            <w:tcBorders>
              <w:top w:val="single" w:color="auto" w:sz="6" w:space="0"/>
              <w:left w:val="single" w:color="auto" w:sz="4" w:space="0"/>
              <w:right w:val="single" w:color="auto" w:sz="6" w:space="0"/>
            </w:tcBorders>
            <w:shd w:val="clear" w:color="auto" w:fill="auto"/>
          </w:tcPr>
          <w:p w14:paraId="47CCC887">
            <w:pPr>
              <w:pStyle w:val="14"/>
              <w:rPr>
                <w:rFonts w:cs="Arial"/>
                <w:sz w:val="15"/>
                <w:szCs w:val="15"/>
              </w:rPr>
            </w:pPr>
            <w:r>
              <w:rPr>
                <w:sz w:val="15"/>
                <w:szCs w:val="15"/>
              </w:rPr>
              <w:t>SCS</w:t>
            </w:r>
            <w:r>
              <w:rPr>
                <w:sz w:val="15"/>
                <w:szCs w:val="15"/>
                <w:vertAlign w:val="subscript"/>
              </w:rPr>
              <w:t>SRS</w:t>
            </w:r>
            <w:r>
              <w:rPr>
                <w:rFonts w:cs="Arial"/>
                <w:sz w:val="15"/>
                <w:szCs w:val="15"/>
              </w:rPr>
              <w:t xml:space="preserve"> = 30 kHz</w:t>
            </w:r>
          </w:p>
        </w:tc>
        <w:tc>
          <w:tcPr>
            <w:tcW w:w="620" w:type="dxa"/>
            <w:tcBorders>
              <w:top w:val="single" w:color="auto" w:sz="6" w:space="0"/>
              <w:left w:val="single" w:color="auto" w:sz="4" w:space="0"/>
              <w:right w:val="single" w:color="auto" w:sz="6" w:space="0"/>
            </w:tcBorders>
            <w:shd w:val="clear" w:color="auto" w:fill="auto"/>
          </w:tcPr>
          <w:p w14:paraId="1635B338">
            <w:pPr>
              <w:pStyle w:val="14"/>
              <w:rPr>
                <w:rFonts w:cs="Arial"/>
                <w:sz w:val="15"/>
                <w:szCs w:val="15"/>
              </w:rPr>
            </w:pPr>
            <w:r>
              <w:rPr>
                <w:sz w:val="15"/>
                <w:szCs w:val="15"/>
              </w:rPr>
              <w:t>SCS</w:t>
            </w:r>
            <w:r>
              <w:rPr>
                <w:sz w:val="15"/>
                <w:szCs w:val="15"/>
                <w:vertAlign w:val="subscript"/>
              </w:rPr>
              <w:t>SRS</w:t>
            </w:r>
            <w:r>
              <w:rPr>
                <w:rFonts w:cs="Arial"/>
                <w:sz w:val="15"/>
                <w:szCs w:val="15"/>
              </w:rPr>
              <w:t xml:space="preserve"> = 60 kHz</w:t>
            </w:r>
          </w:p>
        </w:tc>
        <w:tc>
          <w:tcPr>
            <w:tcW w:w="728" w:type="dxa"/>
            <w:tcBorders>
              <w:left w:val="single" w:color="auto" w:sz="6" w:space="0"/>
              <w:right w:val="single" w:color="auto" w:sz="6" w:space="0"/>
            </w:tcBorders>
            <w:shd w:val="clear" w:color="auto" w:fill="auto"/>
          </w:tcPr>
          <w:p w14:paraId="25292C75">
            <w:pPr>
              <w:pStyle w:val="14"/>
              <w:rPr>
                <w:sz w:val="15"/>
                <w:szCs w:val="15"/>
              </w:rPr>
            </w:pPr>
          </w:p>
        </w:tc>
        <w:tc>
          <w:tcPr>
            <w:tcW w:w="790" w:type="dxa"/>
            <w:tcBorders>
              <w:left w:val="single" w:color="auto" w:sz="6" w:space="0"/>
              <w:right w:val="single" w:color="auto" w:sz="4" w:space="0"/>
            </w:tcBorders>
            <w:shd w:val="clear" w:color="auto" w:fill="auto"/>
          </w:tcPr>
          <w:p w14:paraId="379B586D">
            <w:pPr>
              <w:pStyle w:val="14"/>
              <w:rPr>
                <w:sz w:val="15"/>
                <w:szCs w:val="15"/>
              </w:rPr>
            </w:pPr>
          </w:p>
        </w:tc>
      </w:tr>
      <w:tr w14:paraId="267C1D0D">
        <w:tblPrEx>
          <w:tblCellMar>
            <w:top w:w="0" w:type="dxa"/>
            <w:left w:w="108" w:type="dxa"/>
            <w:bottom w:w="0" w:type="dxa"/>
            <w:right w:w="108" w:type="dxa"/>
          </w:tblCellMar>
        </w:tblPrEx>
        <w:trPr>
          <w:trHeight w:val="548" w:hRule="atLeast"/>
          <w:jc w:val="center"/>
        </w:trPr>
        <w:tc>
          <w:tcPr>
            <w:tcW w:w="583" w:type="dxa"/>
            <w:tcBorders>
              <w:top w:val="single" w:color="auto" w:sz="4" w:space="0"/>
              <w:left w:val="single" w:color="auto" w:sz="4" w:space="0"/>
              <w:right w:val="single" w:color="auto" w:sz="4" w:space="0"/>
            </w:tcBorders>
            <w:shd w:val="clear" w:color="auto" w:fill="auto"/>
            <w:vAlign w:val="center"/>
          </w:tcPr>
          <w:p w14:paraId="4765EA9B">
            <w:pPr>
              <w:pStyle w:val="15"/>
              <w:rPr>
                <w:sz w:val="15"/>
                <w:szCs w:val="15"/>
              </w:rPr>
            </w:pPr>
            <w:r>
              <w:rPr>
                <w:sz w:val="15"/>
                <w:szCs w:val="15"/>
              </w:rPr>
              <w:sym w:font="Symbol" w:char="F0B1"/>
            </w:r>
            <w:r>
              <w:rPr>
                <w:sz w:val="15"/>
                <w:szCs w:val="15"/>
              </w:rPr>
              <w:t>3</w:t>
            </w:r>
          </w:p>
        </w:tc>
        <w:tc>
          <w:tcPr>
            <w:tcW w:w="584" w:type="dxa"/>
            <w:tcBorders>
              <w:top w:val="single" w:color="auto" w:sz="4" w:space="0"/>
              <w:left w:val="single" w:color="auto" w:sz="4" w:space="0"/>
              <w:right w:val="single" w:color="auto" w:sz="4" w:space="0"/>
            </w:tcBorders>
            <w:shd w:val="clear" w:color="auto" w:fill="auto"/>
            <w:vAlign w:val="center"/>
          </w:tcPr>
          <w:p w14:paraId="2BE6134D">
            <w:pPr>
              <w:pStyle w:val="15"/>
              <w:rPr>
                <w:sz w:val="15"/>
                <w:szCs w:val="15"/>
              </w:rPr>
            </w:pPr>
            <w:r>
              <w:rPr>
                <w:sz w:val="15"/>
                <w:szCs w:val="15"/>
              </w:rPr>
              <w:sym w:font="Symbol" w:char="F0B1"/>
            </w:r>
            <w:r>
              <w:rPr>
                <w:sz w:val="15"/>
                <w:szCs w:val="15"/>
              </w:rPr>
              <w:t>3.5</w:t>
            </w:r>
          </w:p>
        </w:tc>
        <w:tc>
          <w:tcPr>
            <w:tcW w:w="584" w:type="dxa"/>
            <w:tcBorders>
              <w:top w:val="single" w:color="auto" w:sz="4" w:space="0"/>
              <w:left w:val="single" w:color="auto" w:sz="4" w:space="0"/>
              <w:right w:val="single" w:color="auto" w:sz="4" w:space="0"/>
            </w:tcBorders>
            <w:shd w:val="clear" w:color="auto" w:fill="auto"/>
            <w:vAlign w:val="center"/>
          </w:tcPr>
          <w:p w14:paraId="347F4664">
            <w:pPr>
              <w:pStyle w:val="15"/>
              <w:rPr>
                <w:sz w:val="15"/>
                <w:szCs w:val="15"/>
              </w:rPr>
            </w:pPr>
            <w:r>
              <w:rPr>
                <w:sz w:val="15"/>
                <w:szCs w:val="15"/>
              </w:rPr>
              <w:sym w:font="Symbol" w:char="F0B1"/>
            </w:r>
            <w:r>
              <w:rPr>
                <w:sz w:val="15"/>
                <w:szCs w:val="15"/>
              </w:rPr>
              <w:t>5</w:t>
            </w:r>
          </w:p>
        </w:tc>
        <w:tc>
          <w:tcPr>
            <w:tcW w:w="584" w:type="dxa"/>
            <w:tcBorders>
              <w:top w:val="single" w:color="auto" w:sz="4" w:space="0"/>
              <w:left w:val="single" w:color="auto" w:sz="4" w:space="0"/>
              <w:right w:val="single" w:color="auto" w:sz="4" w:space="0"/>
            </w:tcBorders>
            <w:shd w:val="clear" w:color="auto" w:fill="auto"/>
            <w:vAlign w:val="center"/>
          </w:tcPr>
          <w:p w14:paraId="11BC46DE">
            <w:pPr>
              <w:pStyle w:val="15"/>
              <w:rPr>
                <w:sz w:val="15"/>
                <w:szCs w:val="15"/>
              </w:rPr>
            </w:pPr>
            <w:r>
              <w:rPr>
                <w:sz w:val="15"/>
                <w:szCs w:val="15"/>
              </w:rPr>
              <w:sym w:font="Symbol" w:char="F0B1"/>
            </w:r>
            <w:r>
              <w:rPr>
                <w:sz w:val="15"/>
                <w:szCs w:val="15"/>
              </w:rPr>
              <w:t>7.5</w:t>
            </w:r>
          </w:p>
        </w:tc>
        <w:tc>
          <w:tcPr>
            <w:tcW w:w="589" w:type="dxa"/>
            <w:tcBorders>
              <w:top w:val="single" w:color="auto" w:sz="4" w:space="0"/>
              <w:left w:val="single" w:color="auto" w:sz="4" w:space="0"/>
              <w:right w:val="single" w:color="auto" w:sz="4" w:space="0"/>
            </w:tcBorders>
            <w:shd w:val="clear" w:color="auto" w:fill="auto"/>
            <w:vAlign w:val="center"/>
          </w:tcPr>
          <w:p w14:paraId="7EF772A2">
            <w:pPr>
              <w:pStyle w:val="15"/>
              <w:rPr>
                <w:sz w:val="15"/>
                <w:szCs w:val="15"/>
              </w:rPr>
            </w:pPr>
            <w:r>
              <w:rPr>
                <w:sz w:val="15"/>
                <w:szCs w:val="15"/>
              </w:rPr>
              <w:sym w:font="Symbol" w:char="F0B1"/>
            </w:r>
            <w:r>
              <w:rPr>
                <w:sz w:val="15"/>
                <w:szCs w:val="15"/>
              </w:rPr>
              <w:t>8</w:t>
            </w:r>
          </w:p>
        </w:tc>
        <w:tc>
          <w:tcPr>
            <w:tcW w:w="665" w:type="dxa"/>
            <w:tcBorders>
              <w:top w:val="single" w:color="auto" w:sz="4" w:space="0"/>
              <w:left w:val="single" w:color="auto" w:sz="4" w:space="0"/>
              <w:right w:val="single" w:color="auto" w:sz="4" w:space="0"/>
            </w:tcBorders>
            <w:shd w:val="clear" w:color="auto" w:fill="auto"/>
            <w:vAlign w:val="center"/>
          </w:tcPr>
          <w:p w14:paraId="75F5B5B2">
            <w:pPr>
              <w:pStyle w:val="15"/>
              <w:rPr>
                <w:sz w:val="15"/>
                <w:szCs w:val="15"/>
              </w:rPr>
            </w:pPr>
            <w:r>
              <w:rPr>
                <w:sz w:val="15"/>
                <w:szCs w:val="15"/>
              </w:rPr>
              <w:sym w:font="Symbol" w:char="F0B1"/>
            </w:r>
            <w:r>
              <w:rPr>
                <w:sz w:val="15"/>
                <w:szCs w:val="15"/>
              </w:rPr>
              <w:t>9.5</w:t>
            </w:r>
          </w:p>
        </w:tc>
        <w:tc>
          <w:tcPr>
            <w:tcW w:w="536" w:type="dxa"/>
            <w:tcBorders>
              <w:top w:val="single" w:color="auto" w:sz="4" w:space="0"/>
              <w:left w:val="single" w:color="auto" w:sz="4" w:space="0"/>
              <w:right w:val="single" w:color="auto" w:sz="4" w:space="0"/>
            </w:tcBorders>
            <w:shd w:val="clear" w:color="auto" w:fill="auto"/>
            <w:vAlign w:val="center"/>
          </w:tcPr>
          <w:p w14:paraId="6E486FD0">
            <w:pPr>
              <w:pStyle w:val="15"/>
              <w:rPr>
                <w:sz w:val="15"/>
                <w:szCs w:val="15"/>
              </w:rPr>
            </w:pPr>
            <w:r>
              <w:rPr>
                <w:sz w:val="15"/>
                <w:szCs w:val="15"/>
              </w:rPr>
              <w:sym w:font="Symbol" w:char="F0B3"/>
            </w:r>
            <w:r>
              <w:rPr>
                <w:sz w:val="15"/>
                <w:szCs w:val="15"/>
              </w:rPr>
              <w:t>1</w:t>
            </w:r>
          </w:p>
        </w:tc>
        <w:tc>
          <w:tcPr>
            <w:tcW w:w="1240" w:type="dxa"/>
            <w:tcBorders>
              <w:top w:val="single" w:color="auto" w:sz="6" w:space="0"/>
              <w:left w:val="single" w:color="auto" w:sz="4" w:space="0"/>
              <w:bottom w:val="single" w:color="auto" w:sz="6" w:space="0"/>
              <w:right w:val="single" w:color="auto" w:sz="4" w:space="0"/>
            </w:tcBorders>
            <w:shd w:val="clear" w:color="auto" w:fill="auto"/>
            <w:vAlign w:val="center"/>
          </w:tcPr>
          <w:p w14:paraId="6BF66C08">
            <w:pPr>
              <w:pStyle w:val="15"/>
              <w:rPr>
                <w:sz w:val="15"/>
                <w:szCs w:val="15"/>
              </w:rPr>
            </w:pPr>
            <w:r>
              <w:rPr>
                <w:sz w:val="15"/>
                <w:szCs w:val="15"/>
              </w:rPr>
              <w:t>NR_TDD_FR1_A,</w:t>
            </w:r>
          </w:p>
        </w:tc>
        <w:tc>
          <w:tcPr>
            <w:tcW w:w="618" w:type="dxa"/>
            <w:tcBorders>
              <w:top w:val="single" w:color="auto" w:sz="6" w:space="0"/>
              <w:left w:val="single" w:color="auto" w:sz="4" w:space="0"/>
              <w:bottom w:val="single" w:color="auto" w:sz="6" w:space="0"/>
              <w:right w:val="single" w:color="auto" w:sz="6" w:space="0"/>
            </w:tcBorders>
            <w:shd w:val="clear" w:color="auto" w:fill="auto"/>
            <w:vAlign w:val="center"/>
          </w:tcPr>
          <w:p w14:paraId="679B5747">
            <w:pPr>
              <w:pStyle w:val="15"/>
              <w:rPr>
                <w:sz w:val="15"/>
                <w:szCs w:val="15"/>
              </w:rPr>
            </w:pPr>
            <w:r>
              <w:rPr>
                <w:sz w:val="15"/>
                <w:szCs w:val="15"/>
              </w:rPr>
              <w:t>-120</w:t>
            </w:r>
          </w:p>
        </w:tc>
        <w:tc>
          <w:tcPr>
            <w:tcW w:w="618" w:type="dxa"/>
            <w:tcBorders>
              <w:top w:val="single" w:color="auto" w:sz="6" w:space="0"/>
              <w:left w:val="single" w:color="auto" w:sz="4" w:space="0"/>
              <w:bottom w:val="single" w:color="auto" w:sz="6" w:space="0"/>
              <w:right w:val="single" w:color="auto" w:sz="6" w:space="0"/>
            </w:tcBorders>
            <w:shd w:val="clear" w:color="auto" w:fill="auto"/>
            <w:vAlign w:val="center"/>
          </w:tcPr>
          <w:p w14:paraId="4D70400B">
            <w:pPr>
              <w:pStyle w:val="15"/>
              <w:rPr>
                <w:sz w:val="15"/>
                <w:szCs w:val="15"/>
              </w:rPr>
            </w:pPr>
            <w:r>
              <w:rPr>
                <w:sz w:val="15"/>
                <w:szCs w:val="15"/>
              </w:rPr>
              <w:t>-117</w:t>
            </w:r>
          </w:p>
        </w:tc>
        <w:tc>
          <w:tcPr>
            <w:tcW w:w="620" w:type="dxa"/>
            <w:tcBorders>
              <w:top w:val="single" w:color="auto" w:sz="6" w:space="0"/>
              <w:left w:val="single" w:color="auto" w:sz="4" w:space="0"/>
              <w:bottom w:val="single" w:color="auto" w:sz="6" w:space="0"/>
              <w:right w:val="single" w:color="auto" w:sz="6" w:space="0"/>
            </w:tcBorders>
            <w:shd w:val="clear" w:color="auto" w:fill="auto"/>
            <w:vAlign w:val="center"/>
          </w:tcPr>
          <w:p w14:paraId="6655CC7F">
            <w:pPr>
              <w:pStyle w:val="15"/>
              <w:rPr>
                <w:sz w:val="15"/>
                <w:szCs w:val="15"/>
              </w:rPr>
            </w:pPr>
            <w:r>
              <w:rPr>
                <w:rFonts w:hint="eastAsia" w:cs="Arial"/>
                <w:sz w:val="15"/>
                <w:szCs w:val="15"/>
                <w:lang w:eastAsia="ko-KR"/>
              </w:rPr>
              <w:t>-11</w:t>
            </w:r>
            <w:r>
              <w:rPr>
                <w:rFonts w:cs="Arial"/>
                <w:sz w:val="15"/>
                <w:szCs w:val="15"/>
                <w:lang w:eastAsia="ko-KR"/>
              </w:rPr>
              <w:t>4</w:t>
            </w:r>
          </w:p>
        </w:tc>
        <w:tc>
          <w:tcPr>
            <w:tcW w:w="728" w:type="dxa"/>
            <w:tcBorders>
              <w:top w:val="single" w:color="auto" w:sz="6" w:space="0"/>
              <w:left w:val="single" w:color="auto" w:sz="6" w:space="0"/>
              <w:bottom w:val="single" w:color="auto" w:sz="6" w:space="0"/>
              <w:right w:val="single" w:color="auto" w:sz="6" w:space="0"/>
            </w:tcBorders>
            <w:shd w:val="clear" w:color="auto" w:fill="auto"/>
            <w:vAlign w:val="center"/>
          </w:tcPr>
          <w:p w14:paraId="04931090">
            <w:pPr>
              <w:pStyle w:val="15"/>
              <w:rPr>
                <w:sz w:val="15"/>
                <w:szCs w:val="15"/>
              </w:rPr>
            </w:pPr>
            <w:r>
              <w:rPr>
                <w:sz w:val="15"/>
                <w:szCs w:val="15"/>
              </w:rPr>
              <w:t>N/A</w:t>
            </w:r>
          </w:p>
        </w:tc>
        <w:tc>
          <w:tcPr>
            <w:tcW w:w="790" w:type="dxa"/>
            <w:tcBorders>
              <w:top w:val="single" w:color="auto" w:sz="6" w:space="0"/>
              <w:left w:val="single" w:color="auto" w:sz="6" w:space="0"/>
              <w:bottom w:val="single" w:color="auto" w:sz="6" w:space="0"/>
              <w:right w:val="single" w:color="auto" w:sz="4" w:space="0"/>
            </w:tcBorders>
            <w:shd w:val="clear" w:color="auto" w:fill="auto"/>
            <w:vAlign w:val="center"/>
          </w:tcPr>
          <w:p w14:paraId="18EF116C">
            <w:pPr>
              <w:pStyle w:val="15"/>
              <w:rPr>
                <w:sz w:val="15"/>
                <w:szCs w:val="15"/>
              </w:rPr>
            </w:pPr>
            <w:r>
              <w:rPr>
                <w:sz w:val="15"/>
                <w:szCs w:val="15"/>
              </w:rPr>
              <w:t>-70</w:t>
            </w:r>
          </w:p>
        </w:tc>
      </w:tr>
      <w:tr w14:paraId="4CF4C1A3">
        <w:tblPrEx>
          <w:tblCellMar>
            <w:top w:w="0" w:type="dxa"/>
            <w:left w:w="108" w:type="dxa"/>
            <w:bottom w:w="0" w:type="dxa"/>
            <w:right w:w="108" w:type="dxa"/>
          </w:tblCellMar>
        </w:tblPrEx>
        <w:trPr>
          <w:trHeight w:val="548" w:hRule="atLeast"/>
          <w:jc w:val="center"/>
        </w:trPr>
        <w:tc>
          <w:tcPr>
            <w:tcW w:w="583" w:type="dxa"/>
            <w:tcBorders>
              <w:left w:val="single" w:color="auto" w:sz="4" w:space="0"/>
              <w:right w:val="single" w:color="auto" w:sz="4" w:space="0"/>
            </w:tcBorders>
            <w:shd w:val="clear" w:color="auto" w:fill="auto"/>
            <w:vAlign w:val="center"/>
          </w:tcPr>
          <w:p w14:paraId="027333C6">
            <w:pPr>
              <w:pStyle w:val="15"/>
              <w:rPr>
                <w:sz w:val="15"/>
                <w:szCs w:val="15"/>
              </w:rPr>
            </w:pPr>
          </w:p>
        </w:tc>
        <w:tc>
          <w:tcPr>
            <w:tcW w:w="584" w:type="dxa"/>
            <w:tcBorders>
              <w:left w:val="single" w:color="auto" w:sz="4" w:space="0"/>
              <w:right w:val="single" w:color="auto" w:sz="4" w:space="0"/>
            </w:tcBorders>
            <w:shd w:val="clear" w:color="auto" w:fill="auto"/>
            <w:vAlign w:val="center"/>
          </w:tcPr>
          <w:p w14:paraId="1895E150">
            <w:pPr>
              <w:pStyle w:val="15"/>
              <w:rPr>
                <w:sz w:val="15"/>
                <w:szCs w:val="15"/>
              </w:rPr>
            </w:pPr>
          </w:p>
        </w:tc>
        <w:tc>
          <w:tcPr>
            <w:tcW w:w="584" w:type="dxa"/>
            <w:tcBorders>
              <w:left w:val="single" w:color="auto" w:sz="4" w:space="0"/>
              <w:right w:val="single" w:color="auto" w:sz="4" w:space="0"/>
            </w:tcBorders>
            <w:shd w:val="clear" w:color="auto" w:fill="auto"/>
            <w:vAlign w:val="center"/>
          </w:tcPr>
          <w:p w14:paraId="48F17E40">
            <w:pPr>
              <w:pStyle w:val="15"/>
              <w:rPr>
                <w:sz w:val="15"/>
                <w:szCs w:val="15"/>
              </w:rPr>
            </w:pPr>
          </w:p>
        </w:tc>
        <w:tc>
          <w:tcPr>
            <w:tcW w:w="584" w:type="dxa"/>
            <w:tcBorders>
              <w:left w:val="single" w:color="auto" w:sz="4" w:space="0"/>
              <w:right w:val="single" w:color="auto" w:sz="4" w:space="0"/>
            </w:tcBorders>
            <w:shd w:val="clear" w:color="auto" w:fill="auto"/>
            <w:vAlign w:val="center"/>
          </w:tcPr>
          <w:p w14:paraId="738532F7">
            <w:pPr>
              <w:pStyle w:val="15"/>
              <w:rPr>
                <w:sz w:val="15"/>
                <w:szCs w:val="15"/>
              </w:rPr>
            </w:pPr>
          </w:p>
        </w:tc>
        <w:tc>
          <w:tcPr>
            <w:tcW w:w="589" w:type="dxa"/>
            <w:tcBorders>
              <w:left w:val="single" w:color="auto" w:sz="4" w:space="0"/>
              <w:right w:val="single" w:color="auto" w:sz="4" w:space="0"/>
            </w:tcBorders>
            <w:shd w:val="clear" w:color="auto" w:fill="auto"/>
            <w:vAlign w:val="center"/>
          </w:tcPr>
          <w:p w14:paraId="58012624">
            <w:pPr>
              <w:pStyle w:val="15"/>
              <w:rPr>
                <w:sz w:val="15"/>
                <w:szCs w:val="15"/>
              </w:rPr>
            </w:pPr>
          </w:p>
        </w:tc>
        <w:tc>
          <w:tcPr>
            <w:tcW w:w="665" w:type="dxa"/>
            <w:tcBorders>
              <w:left w:val="single" w:color="auto" w:sz="4" w:space="0"/>
              <w:right w:val="single" w:color="auto" w:sz="4" w:space="0"/>
            </w:tcBorders>
            <w:shd w:val="clear" w:color="auto" w:fill="auto"/>
            <w:vAlign w:val="center"/>
          </w:tcPr>
          <w:p w14:paraId="3F210905">
            <w:pPr>
              <w:pStyle w:val="15"/>
              <w:rPr>
                <w:sz w:val="15"/>
                <w:szCs w:val="15"/>
              </w:rPr>
            </w:pPr>
          </w:p>
        </w:tc>
        <w:tc>
          <w:tcPr>
            <w:tcW w:w="536" w:type="dxa"/>
            <w:tcBorders>
              <w:left w:val="single" w:color="auto" w:sz="4" w:space="0"/>
              <w:right w:val="single" w:color="auto" w:sz="4" w:space="0"/>
            </w:tcBorders>
            <w:shd w:val="clear" w:color="auto" w:fill="auto"/>
            <w:vAlign w:val="center"/>
          </w:tcPr>
          <w:p w14:paraId="7163EBC4">
            <w:pPr>
              <w:pStyle w:val="15"/>
              <w:rPr>
                <w:sz w:val="15"/>
                <w:szCs w:val="15"/>
              </w:rPr>
            </w:pPr>
          </w:p>
        </w:tc>
        <w:tc>
          <w:tcPr>
            <w:tcW w:w="1240" w:type="dxa"/>
            <w:tcBorders>
              <w:top w:val="single" w:color="auto" w:sz="6" w:space="0"/>
              <w:left w:val="single" w:color="auto" w:sz="4" w:space="0"/>
              <w:bottom w:val="single" w:color="auto" w:sz="6" w:space="0"/>
              <w:right w:val="single" w:color="auto" w:sz="4" w:space="0"/>
            </w:tcBorders>
            <w:shd w:val="clear" w:color="auto" w:fill="auto"/>
            <w:vAlign w:val="center"/>
          </w:tcPr>
          <w:p w14:paraId="2158AE13">
            <w:pPr>
              <w:pStyle w:val="15"/>
              <w:rPr>
                <w:sz w:val="15"/>
                <w:szCs w:val="15"/>
              </w:rPr>
            </w:pPr>
            <w:r>
              <w:rPr>
                <w:sz w:val="15"/>
                <w:szCs w:val="15"/>
              </w:rPr>
              <w:t>NR_TDD_FR1_C</w:t>
            </w:r>
          </w:p>
        </w:tc>
        <w:tc>
          <w:tcPr>
            <w:tcW w:w="618" w:type="dxa"/>
            <w:tcBorders>
              <w:top w:val="single" w:color="auto" w:sz="6" w:space="0"/>
              <w:left w:val="single" w:color="auto" w:sz="4" w:space="0"/>
              <w:bottom w:val="single" w:color="auto" w:sz="6" w:space="0"/>
              <w:right w:val="single" w:color="auto" w:sz="6" w:space="0"/>
            </w:tcBorders>
            <w:shd w:val="clear" w:color="auto" w:fill="auto"/>
            <w:vAlign w:val="center"/>
          </w:tcPr>
          <w:p w14:paraId="621AC9B8">
            <w:pPr>
              <w:pStyle w:val="15"/>
              <w:rPr>
                <w:sz w:val="15"/>
                <w:szCs w:val="15"/>
              </w:rPr>
            </w:pPr>
            <w:r>
              <w:rPr>
                <w:sz w:val="15"/>
                <w:szCs w:val="15"/>
              </w:rPr>
              <w:t>-119</w:t>
            </w:r>
          </w:p>
        </w:tc>
        <w:tc>
          <w:tcPr>
            <w:tcW w:w="618" w:type="dxa"/>
            <w:tcBorders>
              <w:top w:val="single" w:color="auto" w:sz="6" w:space="0"/>
              <w:left w:val="single" w:color="auto" w:sz="4" w:space="0"/>
              <w:bottom w:val="single" w:color="auto" w:sz="6" w:space="0"/>
              <w:right w:val="single" w:color="auto" w:sz="6" w:space="0"/>
            </w:tcBorders>
            <w:shd w:val="clear" w:color="auto" w:fill="auto"/>
            <w:vAlign w:val="center"/>
          </w:tcPr>
          <w:p w14:paraId="38B9883D">
            <w:pPr>
              <w:pStyle w:val="15"/>
              <w:rPr>
                <w:sz w:val="15"/>
                <w:szCs w:val="15"/>
                <w:lang w:val="sv-SE"/>
              </w:rPr>
            </w:pPr>
            <w:r>
              <w:rPr>
                <w:sz w:val="15"/>
                <w:szCs w:val="15"/>
              </w:rPr>
              <w:t>-116</w:t>
            </w:r>
          </w:p>
        </w:tc>
        <w:tc>
          <w:tcPr>
            <w:tcW w:w="620" w:type="dxa"/>
            <w:tcBorders>
              <w:top w:val="single" w:color="auto" w:sz="6" w:space="0"/>
              <w:left w:val="single" w:color="auto" w:sz="4" w:space="0"/>
              <w:bottom w:val="single" w:color="auto" w:sz="6" w:space="0"/>
              <w:right w:val="single" w:color="auto" w:sz="6" w:space="0"/>
            </w:tcBorders>
            <w:shd w:val="clear" w:color="auto" w:fill="auto"/>
            <w:vAlign w:val="center"/>
          </w:tcPr>
          <w:p w14:paraId="40AC5152">
            <w:pPr>
              <w:pStyle w:val="15"/>
              <w:rPr>
                <w:sz w:val="15"/>
                <w:szCs w:val="15"/>
                <w:lang w:val="sv-SE"/>
              </w:rPr>
            </w:pPr>
            <w:r>
              <w:rPr>
                <w:rFonts w:hint="eastAsia" w:cs="Arial"/>
                <w:sz w:val="15"/>
                <w:szCs w:val="15"/>
                <w:lang w:val="sv-SE" w:eastAsia="ko-KR"/>
              </w:rPr>
              <w:t>-11</w:t>
            </w:r>
            <w:r>
              <w:rPr>
                <w:rFonts w:cs="Arial"/>
                <w:sz w:val="15"/>
                <w:szCs w:val="15"/>
                <w:lang w:val="sv-SE" w:eastAsia="ko-KR"/>
              </w:rPr>
              <w:t>3</w:t>
            </w:r>
          </w:p>
        </w:tc>
        <w:tc>
          <w:tcPr>
            <w:tcW w:w="728" w:type="dxa"/>
            <w:tcBorders>
              <w:top w:val="single" w:color="auto" w:sz="6" w:space="0"/>
              <w:left w:val="single" w:color="auto" w:sz="6" w:space="0"/>
              <w:bottom w:val="single" w:color="auto" w:sz="6" w:space="0"/>
              <w:right w:val="single" w:color="auto" w:sz="6" w:space="0"/>
            </w:tcBorders>
            <w:shd w:val="clear" w:color="auto" w:fill="auto"/>
            <w:vAlign w:val="center"/>
          </w:tcPr>
          <w:p w14:paraId="2DB8835E">
            <w:pPr>
              <w:pStyle w:val="15"/>
              <w:rPr>
                <w:sz w:val="15"/>
                <w:szCs w:val="15"/>
              </w:rPr>
            </w:pPr>
            <w:r>
              <w:rPr>
                <w:sz w:val="15"/>
                <w:szCs w:val="15"/>
              </w:rPr>
              <w:t>N/A</w:t>
            </w:r>
          </w:p>
        </w:tc>
        <w:tc>
          <w:tcPr>
            <w:tcW w:w="790" w:type="dxa"/>
            <w:tcBorders>
              <w:top w:val="single" w:color="auto" w:sz="6" w:space="0"/>
              <w:left w:val="single" w:color="auto" w:sz="6" w:space="0"/>
              <w:bottom w:val="single" w:color="auto" w:sz="6" w:space="0"/>
              <w:right w:val="single" w:color="auto" w:sz="4" w:space="0"/>
            </w:tcBorders>
            <w:shd w:val="clear" w:color="auto" w:fill="auto"/>
            <w:vAlign w:val="center"/>
          </w:tcPr>
          <w:p w14:paraId="1A94790E">
            <w:pPr>
              <w:pStyle w:val="15"/>
              <w:rPr>
                <w:sz w:val="15"/>
                <w:szCs w:val="15"/>
              </w:rPr>
            </w:pPr>
            <w:r>
              <w:rPr>
                <w:sz w:val="15"/>
                <w:szCs w:val="15"/>
              </w:rPr>
              <w:t>-70</w:t>
            </w:r>
          </w:p>
        </w:tc>
      </w:tr>
      <w:tr w14:paraId="0EF45A37">
        <w:tblPrEx>
          <w:tblCellMar>
            <w:top w:w="0" w:type="dxa"/>
            <w:left w:w="108" w:type="dxa"/>
            <w:bottom w:w="0" w:type="dxa"/>
            <w:right w:w="108" w:type="dxa"/>
          </w:tblCellMar>
        </w:tblPrEx>
        <w:trPr>
          <w:trHeight w:val="548" w:hRule="atLeast"/>
          <w:jc w:val="center"/>
        </w:trPr>
        <w:tc>
          <w:tcPr>
            <w:tcW w:w="583" w:type="dxa"/>
            <w:tcBorders>
              <w:left w:val="single" w:color="auto" w:sz="4" w:space="0"/>
              <w:right w:val="single" w:color="auto" w:sz="4" w:space="0"/>
            </w:tcBorders>
            <w:shd w:val="clear" w:color="auto" w:fill="auto"/>
            <w:vAlign w:val="center"/>
          </w:tcPr>
          <w:p w14:paraId="64B562DA">
            <w:pPr>
              <w:pStyle w:val="15"/>
              <w:rPr>
                <w:sz w:val="15"/>
                <w:szCs w:val="15"/>
              </w:rPr>
            </w:pPr>
          </w:p>
        </w:tc>
        <w:tc>
          <w:tcPr>
            <w:tcW w:w="584" w:type="dxa"/>
            <w:tcBorders>
              <w:left w:val="single" w:color="auto" w:sz="4" w:space="0"/>
              <w:right w:val="single" w:color="auto" w:sz="4" w:space="0"/>
            </w:tcBorders>
            <w:shd w:val="clear" w:color="auto" w:fill="auto"/>
            <w:vAlign w:val="center"/>
          </w:tcPr>
          <w:p w14:paraId="1D9E40D4">
            <w:pPr>
              <w:pStyle w:val="15"/>
              <w:rPr>
                <w:sz w:val="15"/>
                <w:szCs w:val="15"/>
              </w:rPr>
            </w:pPr>
          </w:p>
        </w:tc>
        <w:tc>
          <w:tcPr>
            <w:tcW w:w="584" w:type="dxa"/>
            <w:tcBorders>
              <w:left w:val="single" w:color="auto" w:sz="4" w:space="0"/>
              <w:right w:val="single" w:color="auto" w:sz="4" w:space="0"/>
            </w:tcBorders>
            <w:shd w:val="clear" w:color="auto" w:fill="auto"/>
            <w:vAlign w:val="center"/>
          </w:tcPr>
          <w:p w14:paraId="5B29D39D">
            <w:pPr>
              <w:pStyle w:val="15"/>
              <w:rPr>
                <w:sz w:val="15"/>
                <w:szCs w:val="15"/>
              </w:rPr>
            </w:pPr>
          </w:p>
        </w:tc>
        <w:tc>
          <w:tcPr>
            <w:tcW w:w="584" w:type="dxa"/>
            <w:tcBorders>
              <w:left w:val="single" w:color="auto" w:sz="4" w:space="0"/>
              <w:right w:val="single" w:color="auto" w:sz="4" w:space="0"/>
            </w:tcBorders>
            <w:shd w:val="clear" w:color="auto" w:fill="auto"/>
            <w:vAlign w:val="center"/>
          </w:tcPr>
          <w:p w14:paraId="6EA81CA0">
            <w:pPr>
              <w:pStyle w:val="15"/>
              <w:rPr>
                <w:sz w:val="15"/>
                <w:szCs w:val="15"/>
              </w:rPr>
            </w:pPr>
          </w:p>
        </w:tc>
        <w:tc>
          <w:tcPr>
            <w:tcW w:w="589" w:type="dxa"/>
            <w:tcBorders>
              <w:left w:val="single" w:color="auto" w:sz="4" w:space="0"/>
              <w:right w:val="single" w:color="auto" w:sz="4" w:space="0"/>
            </w:tcBorders>
            <w:shd w:val="clear" w:color="auto" w:fill="auto"/>
            <w:vAlign w:val="center"/>
          </w:tcPr>
          <w:p w14:paraId="425F2A39">
            <w:pPr>
              <w:pStyle w:val="15"/>
              <w:rPr>
                <w:sz w:val="15"/>
                <w:szCs w:val="15"/>
              </w:rPr>
            </w:pPr>
          </w:p>
        </w:tc>
        <w:tc>
          <w:tcPr>
            <w:tcW w:w="665" w:type="dxa"/>
            <w:tcBorders>
              <w:left w:val="single" w:color="auto" w:sz="4" w:space="0"/>
              <w:right w:val="single" w:color="auto" w:sz="4" w:space="0"/>
            </w:tcBorders>
            <w:shd w:val="clear" w:color="auto" w:fill="auto"/>
            <w:vAlign w:val="center"/>
          </w:tcPr>
          <w:p w14:paraId="57E3AF89">
            <w:pPr>
              <w:pStyle w:val="15"/>
              <w:rPr>
                <w:sz w:val="15"/>
                <w:szCs w:val="15"/>
              </w:rPr>
            </w:pPr>
          </w:p>
        </w:tc>
        <w:tc>
          <w:tcPr>
            <w:tcW w:w="536" w:type="dxa"/>
            <w:tcBorders>
              <w:left w:val="single" w:color="auto" w:sz="4" w:space="0"/>
              <w:right w:val="single" w:color="auto" w:sz="4" w:space="0"/>
            </w:tcBorders>
            <w:shd w:val="clear" w:color="auto" w:fill="auto"/>
            <w:vAlign w:val="center"/>
          </w:tcPr>
          <w:p w14:paraId="54D20B03">
            <w:pPr>
              <w:pStyle w:val="15"/>
              <w:rPr>
                <w:sz w:val="15"/>
                <w:szCs w:val="15"/>
              </w:rPr>
            </w:pPr>
          </w:p>
        </w:tc>
        <w:tc>
          <w:tcPr>
            <w:tcW w:w="1240" w:type="dxa"/>
            <w:tcBorders>
              <w:top w:val="single" w:color="auto" w:sz="6" w:space="0"/>
              <w:left w:val="single" w:color="auto" w:sz="4" w:space="0"/>
              <w:bottom w:val="single" w:color="auto" w:sz="6" w:space="0"/>
              <w:right w:val="single" w:color="auto" w:sz="4" w:space="0"/>
            </w:tcBorders>
            <w:shd w:val="clear" w:color="auto" w:fill="auto"/>
            <w:vAlign w:val="center"/>
          </w:tcPr>
          <w:p w14:paraId="18FD4FAE">
            <w:pPr>
              <w:pStyle w:val="15"/>
              <w:rPr>
                <w:sz w:val="15"/>
                <w:szCs w:val="15"/>
                <w:lang w:val="sv-SE"/>
              </w:rPr>
            </w:pPr>
            <w:r>
              <w:rPr>
                <w:sz w:val="15"/>
                <w:szCs w:val="15"/>
                <w:lang w:val="sv-SE"/>
              </w:rPr>
              <w:t>NR_TDD_FR1_D</w:t>
            </w:r>
          </w:p>
        </w:tc>
        <w:tc>
          <w:tcPr>
            <w:tcW w:w="618" w:type="dxa"/>
            <w:tcBorders>
              <w:top w:val="single" w:color="auto" w:sz="6" w:space="0"/>
              <w:left w:val="single" w:color="auto" w:sz="4" w:space="0"/>
              <w:bottom w:val="single" w:color="auto" w:sz="6" w:space="0"/>
              <w:right w:val="single" w:color="auto" w:sz="6" w:space="0"/>
            </w:tcBorders>
            <w:shd w:val="clear" w:color="auto" w:fill="auto"/>
            <w:vAlign w:val="center"/>
          </w:tcPr>
          <w:p w14:paraId="48E674AB">
            <w:pPr>
              <w:pStyle w:val="15"/>
              <w:rPr>
                <w:sz w:val="15"/>
                <w:szCs w:val="15"/>
              </w:rPr>
            </w:pPr>
            <w:r>
              <w:rPr>
                <w:sz w:val="15"/>
                <w:szCs w:val="15"/>
              </w:rPr>
              <w:t>-118.5</w:t>
            </w:r>
          </w:p>
        </w:tc>
        <w:tc>
          <w:tcPr>
            <w:tcW w:w="618" w:type="dxa"/>
            <w:tcBorders>
              <w:top w:val="single" w:color="auto" w:sz="6" w:space="0"/>
              <w:left w:val="single" w:color="auto" w:sz="4" w:space="0"/>
              <w:bottom w:val="single" w:color="auto" w:sz="6" w:space="0"/>
              <w:right w:val="single" w:color="auto" w:sz="6" w:space="0"/>
            </w:tcBorders>
            <w:shd w:val="clear" w:color="auto" w:fill="auto"/>
            <w:vAlign w:val="center"/>
          </w:tcPr>
          <w:p w14:paraId="4C168F46">
            <w:pPr>
              <w:pStyle w:val="15"/>
              <w:rPr>
                <w:sz w:val="15"/>
                <w:szCs w:val="15"/>
              </w:rPr>
            </w:pPr>
            <w:r>
              <w:rPr>
                <w:sz w:val="15"/>
                <w:szCs w:val="15"/>
              </w:rPr>
              <w:t>-115.5</w:t>
            </w:r>
          </w:p>
        </w:tc>
        <w:tc>
          <w:tcPr>
            <w:tcW w:w="620" w:type="dxa"/>
            <w:tcBorders>
              <w:top w:val="single" w:color="auto" w:sz="6" w:space="0"/>
              <w:left w:val="single" w:color="auto" w:sz="4" w:space="0"/>
              <w:bottom w:val="single" w:color="auto" w:sz="6" w:space="0"/>
              <w:right w:val="single" w:color="auto" w:sz="6" w:space="0"/>
            </w:tcBorders>
            <w:shd w:val="clear" w:color="auto" w:fill="auto"/>
            <w:vAlign w:val="center"/>
          </w:tcPr>
          <w:p w14:paraId="18835164">
            <w:pPr>
              <w:pStyle w:val="15"/>
              <w:rPr>
                <w:sz w:val="15"/>
                <w:szCs w:val="15"/>
              </w:rPr>
            </w:pPr>
            <w:r>
              <w:rPr>
                <w:rFonts w:hint="eastAsia" w:cs="Arial"/>
                <w:sz w:val="15"/>
                <w:szCs w:val="15"/>
                <w:lang w:val="sv-SE" w:eastAsia="ko-KR"/>
              </w:rPr>
              <w:t>-11</w:t>
            </w:r>
            <w:r>
              <w:rPr>
                <w:rFonts w:cs="Arial"/>
                <w:sz w:val="15"/>
                <w:szCs w:val="15"/>
                <w:lang w:val="sv-SE" w:eastAsia="ko-KR"/>
              </w:rPr>
              <w:t>2</w:t>
            </w:r>
            <w:r>
              <w:rPr>
                <w:rFonts w:hint="eastAsia" w:cs="Arial"/>
                <w:sz w:val="15"/>
                <w:szCs w:val="15"/>
                <w:lang w:val="sv-SE" w:eastAsia="ko-KR"/>
              </w:rPr>
              <w:t>.5</w:t>
            </w:r>
          </w:p>
        </w:tc>
        <w:tc>
          <w:tcPr>
            <w:tcW w:w="728" w:type="dxa"/>
            <w:tcBorders>
              <w:top w:val="single" w:color="auto" w:sz="6" w:space="0"/>
              <w:left w:val="single" w:color="auto" w:sz="6" w:space="0"/>
              <w:bottom w:val="single" w:color="auto" w:sz="6" w:space="0"/>
              <w:right w:val="single" w:color="auto" w:sz="6" w:space="0"/>
            </w:tcBorders>
            <w:shd w:val="clear" w:color="auto" w:fill="auto"/>
            <w:vAlign w:val="center"/>
          </w:tcPr>
          <w:p w14:paraId="00D61E75">
            <w:pPr>
              <w:pStyle w:val="15"/>
              <w:rPr>
                <w:sz w:val="15"/>
                <w:szCs w:val="15"/>
              </w:rPr>
            </w:pPr>
            <w:r>
              <w:rPr>
                <w:sz w:val="15"/>
                <w:szCs w:val="15"/>
              </w:rPr>
              <w:t>N/A</w:t>
            </w:r>
          </w:p>
        </w:tc>
        <w:tc>
          <w:tcPr>
            <w:tcW w:w="790" w:type="dxa"/>
            <w:tcBorders>
              <w:top w:val="single" w:color="auto" w:sz="6" w:space="0"/>
              <w:left w:val="single" w:color="auto" w:sz="6" w:space="0"/>
              <w:bottom w:val="single" w:color="auto" w:sz="6" w:space="0"/>
              <w:right w:val="single" w:color="auto" w:sz="4" w:space="0"/>
            </w:tcBorders>
            <w:shd w:val="clear" w:color="auto" w:fill="auto"/>
            <w:vAlign w:val="center"/>
          </w:tcPr>
          <w:p w14:paraId="315B19AA">
            <w:pPr>
              <w:pStyle w:val="15"/>
              <w:rPr>
                <w:sz w:val="15"/>
                <w:szCs w:val="15"/>
              </w:rPr>
            </w:pPr>
            <w:r>
              <w:rPr>
                <w:sz w:val="15"/>
                <w:szCs w:val="15"/>
              </w:rPr>
              <w:t>-70</w:t>
            </w:r>
          </w:p>
        </w:tc>
      </w:tr>
      <w:tr w14:paraId="488ED1CA">
        <w:tblPrEx>
          <w:tblCellMar>
            <w:top w:w="0" w:type="dxa"/>
            <w:left w:w="108" w:type="dxa"/>
            <w:bottom w:w="0" w:type="dxa"/>
            <w:right w:w="108" w:type="dxa"/>
          </w:tblCellMar>
        </w:tblPrEx>
        <w:trPr>
          <w:trHeight w:val="548" w:hRule="atLeast"/>
          <w:jc w:val="center"/>
        </w:trPr>
        <w:tc>
          <w:tcPr>
            <w:tcW w:w="583" w:type="dxa"/>
            <w:tcBorders>
              <w:left w:val="single" w:color="auto" w:sz="4" w:space="0"/>
              <w:bottom w:val="single" w:color="auto" w:sz="4" w:space="0"/>
              <w:right w:val="single" w:color="auto" w:sz="4" w:space="0"/>
            </w:tcBorders>
            <w:shd w:val="clear" w:color="auto" w:fill="auto"/>
            <w:vAlign w:val="center"/>
          </w:tcPr>
          <w:p w14:paraId="4F35AB96">
            <w:pPr>
              <w:pStyle w:val="15"/>
              <w:rPr>
                <w:sz w:val="15"/>
                <w:szCs w:val="15"/>
              </w:rPr>
            </w:pPr>
          </w:p>
        </w:tc>
        <w:tc>
          <w:tcPr>
            <w:tcW w:w="584" w:type="dxa"/>
            <w:tcBorders>
              <w:left w:val="single" w:color="auto" w:sz="4" w:space="0"/>
              <w:bottom w:val="single" w:color="auto" w:sz="4" w:space="0"/>
              <w:right w:val="single" w:color="auto" w:sz="4" w:space="0"/>
            </w:tcBorders>
            <w:shd w:val="clear" w:color="auto" w:fill="auto"/>
            <w:vAlign w:val="center"/>
          </w:tcPr>
          <w:p w14:paraId="59047325">
            <w:pPr>
              <w:pStyle w:val="15"/>
              <w:rPr>
                <w:sz w:val="15"/>
                <w:szCs w:val="15"/>
              </w:rPr>
            </w:pPr>
          </w:p>
        </w:tc>
        <w:tc>
          <w:tcPr>
            <w:tcW w:w="584" w:type="dxa"/>
            <w:tcBorders>
              <w:left w:val="single" w:color="auto" w:sz="4" w:space="0"/>
              <w:bottom w:val="single" w:color="auto" w:sz="4" w:space="0"/>
              <w:right w:val="single" w:color="auto" w:sz="4" w:space="0"/>
            </w:tcBorders>
            <w:shd w:val="clear" w:color="auto" w:fill="auto"/>
            <w:vAlign w:val="center"/>
          </w:tcPr>
          <w:p w14:paraId="1AC225EA">
            <w:pPr>
              <w:pStyle w:val="15"/>
              <w:rPr>
                <w:sz w:val="15"/>
                <w:szCs w:val="15"/>
              </w:rPr>
            </w:pPr>
          </w:p>
        </w:tc>
        <w:tc>
          <w:tcPr>
            <w:tcW w:w="584" w:type="dxa"/>
            <w:tcBorders>
              <w:left w:val="single" w:color="auto" w:sz="4" w:space="0"/>
              <w:bottom w:val="single" w:color="auto" w:sz="4" w:space="0"/>
              <w:right w:val="single" w:color="auto" w:sz="4" w:space="0"/>
            </w:tcBorders>
            <w:shd w:val="clear" w:color="auto" w:fill="auto"/>
            <w:vAlign w:val="center"/>
          </w:tcPr>
          <w:p w14:paraId="253542D3">
            <w:pPr>
              <w:pStyle w:val="15"/>
              <w:rPr>
                <w:sz w:val="15"/>
                <w:szCs w:val="15"/>
              </w:rPr>
            </w:pPr>
          </w:p>
        </w:tc>
        <w:tc>
          <w:tcPr>
            <w:tcW w:w="589" w:type="dxa"/>
            <w:tcBorders>
              <w:left w:val="single" w:color="auto" w:sz="4" w:space="0"/>
              <w:bottom w:val="single" w:color="auto" w:sz="4" w:space="0"/>
              <w:right w:val="single" w:color="auto" w:sz="4" w:space="0"/>
            </w:tcBorders>
            <w:shd w:val="clear" w:color="auto" w:fill="auto"/>
            <w:vAlign w:val="center"/>
          </w:tcPr>
          <w:p w14:paraId="075150B4">
            <w:pPr>
              <w:pStyle w:val="15"/>
              <w:rPr>
                <w:sz w:val="15"/>
                <w:szCs w:val="15"/>
              </w:rPr>
            </w:pPr>
          </w:p>
        </w:tc>
        <w:tc>
          <w:tcPr>
            <w:tcW w:w="665" w:type="dxa"/>
            <w:tcBorders>
              <w:left w:val="single" w:color="auto" w:sz="4" w:space="0"/>
              <w:bottom w:val="single" w:color="auto" w:sz="4" w:space="0"/>
              <w:right w:val="single" w:color="auto" w:sz="4" w:space="0"/>
            </w:tcBorders>
            <w:shd w:val="clear" w:color="auto" w:fill="auto"/>
            <w:vAlign w:val="center"/>
          </w:tcPr>
          <w:p w14:paraId="5591B7C5">
            <w:pPr>
              <w:pStyle w:val="15"/>
              <w:rPr>
                <w:sz w:val="15"/>
                <w:szCs w:val="15"/>
              </w:rPr>
            </w:pPr>
          </w:p>
        </w:tc>
        <w:tc>
          <w:tcPr>
            <w:tcW w:w="536" w:type="dxa"/>
            <w:tcBorders>
              <w:left w:val="single" w:color="auto" w:sz="4" w:space="0"/>
              <w:bottom w:val="single" w:color="auto" w:sz="4" w:space="0"/>
              <w:right w:val="single" w:color="auto" w:sz="4" w:space="0"/>
            </w:tcBorders>
            <w:shd w:val="clear" w:color="auto" w:fill="auto"/>
            <w:vAlign w:val="center"/>
          </w:tcPr>
          <w:p w14:paraId="5243EB1D">
            <w:pPr>
              <w:pStyle w:val="15"/>
              <w:rPr>
                <w:sz w:val="15"/>
                <w:szCs w:val="15"/>
              </w:rPr>
            </w:pPr>
          </w:p>
        </w:tc>
        <w:tc>
          <w:tcPr>
            <w:tcW w:w="1240" w:type="dxa"/>
            <w:tcBorders>
              <w:top w:val="single" w:color="auto" w:sz="6" w:space="0"/>
              <w:left w:val="single" w:color="auto" w:sz="4" w:space="0"/>
              <w:bottom w:val="single" w:color="auto" w:sz="6" w:space="0"/>
              <w:right w:val="single" w:color="auto" w:sz="4" w:space="0"/>
            </w:tcBorders>
            <w:shd w:val="clear" w:color="auto" w:fill="auto"/>
            <w:vAlign w:val="center"/>
          </w:tcPr>
          <w:p w14:paraId="129F9C9E">
            <w:pPr>
              <w:pStyle w:val="15"/>
              <w:rPr>
                <w:sz w:val="15"/>
                <w:szCs w:val="15"/>
                <w:lang w:val="sv-SE"/>
              </w:rPr>
            </w:pPr>
            <w:r>
              <w:rPr>
                <w:sz w:val="15"/>
                <w:szCs w:val="15"/>
                <w:lang w:val="sv-SE"/>
              </w:rPr>
              <w:t>NR_TDD_FR1_E</w:t>
            </w:r>
          </w:p>
        </w:tc>
        <w:tc>
          <w:tcPr>
            <w:tcW w:w="618" w:type="dxa"/>
            <w:tcBorders>
              <w:top w:val="single" w:color="auto" w:sz="6" w:space="0"/>
              <w:left w:val="single" w:color="auto" w:sz="4" w:space="0"/>
              <w:bottom w:val="single" w:color="auto" w:sz="6" w:space="0"/>
              <w:right w:val="single" w:color="auto" w:sz="6" w:space="0"/>
            </w:tcBorders>
            <w:shd w:val="clear" w:color="auto" w:fill="auto"/>
            <w:vAlign w:val="center"/>
          </w:tcPr>
          <w:p w14:paraId="10480E27">
            <w:pPr>
              <w:pStyle w:val="15"/>
              <w:rPr>
                <w:sz w:val="15"/>
                <w:szCs w:val="15"/>
              </w:rPr>
            </w:pPr>
            <w:r>
              <w:rPr>
                <w:sz w:val="15"/>
                <w:szCs w:val="15"/>
              </w:rPr>
              <w:t>-118</w:t>
            </w:r>
          </w:p>
        </w:tc>
        <w:tc>
          <w:tcPr>
            <w:tcW w:w="618" w:type="dxa"/>
            <w:tcBorders>
              <w:top w:val="single" w:color="auto" w:sz="6" w:space="0"/>
              <w:left w:val="single" w:color="auto" w:sz="4" w:space="0"/>
              <w:bottom w:val="single" w:color="auto" w:sz="6" w:space="0"/>
              <w:right w:val="single" w:color="auto" w:sz="6" w:space="0"/>
            </w:tcBorders>
            <w:shd w:val="clear" w:color="auto" w:fill="auto"/>
            <w:vAlign w:val="center"/>
          </w:tcPr>
          <w:p w14:paraId="37539CD9">
            <w:pPr>
              <w:pStyle w:val="15"/>
              <w:rPr>
                <w:sz w:val="15"/>
                <w:szCs w:val="15"/>
                <w:lang w:val="sv-SE"/>
              </w:rPr>
            </w:pPr>
            <w:r>
              <w:rPr>
                <w:sz w:val="15"/>
                <w:szCs w:val="15"/>
              </w:rPr>
              <w:t>-115</w:t>
            </w:r>
          </w:p>
        </w:tc>
        <w:tc>
          <w:tcPr>
            <w:tcW w:w="620" w:type="dxa"/>
            <w:tcBorders>
              <w:top w:val="single" w:color="auto" w:sz="6" w:space="0"/>
              <w:left w:val="single" w:color="auto" w:sz="4" w:space="0"/>
              <w:bottom w:val="single" w:color="auto" w:sz="6" w:space="0"/>
              <w:right w:val="single" w:color="auto" w:sz="6" w:space="0"/>
            </w:tcBorders>
            <w:shd w:val="clear" w:color="auto" w:fill="auto"/>
            <w:vAlign w:val="center"/>
          </w:tcPr>
          <w:p w14:paraId="1DB510E4">
            <w:pPr>
              <w:pStyle w:val="15"/>
              <w:rPr>
                <w:sz w:val="15"/>
                <w:szCs w:val="15"/>
                <w:lang w:val="sv-SE"/>
              </w:rPr>
            </w:pPr>
            <w:r>
              <w:rPr>
                <w:rFonts w:hint="eastAsia" w:cs="Arial"/>
                <w:sz w:val="15"/>
                <w:szCs w:val="15"/>
                <w:lang w:eastAsia="ko-KR"/>
              </w:rPr>
              <w:t>-11</w:t>
            </w:r>
            <w:r>
              <w:rPr>
                <w:rFonts w:cs="Arial"/>
                <w:sz w:val="15"/>
                <w:szCs w:val="15"/>
                <w:lang w:eastAsia="ko-KR"/>
              </w:rPr>
              <w:t>2</w:t>
            </w:r>
          </w:p>
        </w:tc>
        <w:tc>
          <w:tcPr>
            <w:tcW w:w="728" w:type="dxa"/>
            <w:tcBorders>
              <w:top w:val="single" w:color="auto" w:sz="6" w:space="0"/>
              <w:left w:val="single" w:color="auto" w:sz="6" w:space="0"/>
              <w:bottom w:val="single" w:color="auto" w:sz="6" w:space="0"/>
              <w:right w:val="single" w:color="auto" w:sz="6" w:space="0"/>
            </w:tcBorders>
            <w:shd w:val="clear" w:color="auto" w:fill="auto"/>
            <w:vAlign w:val="center"/>
          </w:tcPr>
          <w:p w14:paraId="4655CF6C">
            <w:pPr>
              <w:pStyle w:val="15"/>
              <w:rPr>
                <w:sz w:val="15"/>
                <w:szCs w:val="15"/>
              </w:rPr>
            </w:pPr>
            <w:r>
              <w:rPr>
                <w:sz w:val="15"/>
                <w:szCs w:val="15"/>
              </w:rPr>
              <w:t>N/A</w:t>
            </w:r>
          </w:p>
        </w:tc>
        <w:tc>
          <w:tcPr>
            <w:tcW w:w="790" w:type="dxa"/>
            <w:tcBorders>
              <w:top w:val="single" w:color="auto" w:sz="6" w:space="0"/>
              <w:left w:val="single" w:color="auto" w:sz="6" w:space="0"/>
              <w:bottom w:val="single" w:color="auto" w:sz="6" w:space="0"/>
              <w:right w:val="single" w:color="auto" w:sz="4" w:space="0"/>
            </w:tcBorders>
            <w:shd w:val="clear" w:color="auto" w:fill="auto"/>
            <w:vAlign w:val="center"/>
          </w:tcPr>
          <w:p w14:paraId="65033ED8">
            <w:pPr>
              <w:pStyle w:val="15"/>
              <w:rPr>
                <w:sz w:val="15"/>
                <w:szCs w:val="15"/>
              </w:rPr>
            </w:pPr>
            <w:r>
              <w:rPr>
                <w:sz w:val="15"/>
                <w:szCs w:val="15"/>
              </w:rPr>
              <w:t>-70</w:t>
            </w:r>
          </w:p>
        </w:tc>
      </w:tr>
      <w:tr w14:paraId="497726CB">
        <w:tblPrEx>
          <w:tblCellMar>
            <w:top w:w="0" w:type="dxa"/>
            <w:left w:w="108" w:type="dxa"/>
            <w:bottom w:w="0" w:type="dxa"/>
            <w:right w:w="108" w:type="dxa"/>
          </w:tblCellMar>
        </w:tblPrEx>
        <w:trPr>
          <w:trHeight w:val="2151" w:hRule="atLeast"/>
          <w:jc w:val="center"/>
        </w:trPr>
        <w:tc>
          <w:tcPr>
            <w:tcW w:w="583" w:type="dxa"/>
            <w:tcBorders>
              <w:top w:val="single" w:color="auto" w:sz="4" w:space="0"/>
              <w:left w:val="single" w:color="auto" w:sz="6" w:space="0"/>
              <w:bottom w:val="single" w:color="auto" w:sz="6" w:space="0"/>
              <w:right w:val="single" w:color="auto" w:sz="6" w:space="0"/>
            </w:tcBorders>
            <w:shd w:val="clear" w:color="auto" w:fill="auto"/>
          </w:tcPr>
          <w:p w14:paraId="2A130CBF">
            <w:pPr>
              <w:pStyle w:val="15"/>
              <w:rPr>
                <w:sz w:val="15"/>
                <w:szCs w:val="15"/>
                <w:lang w:eastAsia="zh-CN"/>
              </w:rPr>
            </w:pPr>
            <w:r>
              <w:rPr>
                <w:sz w:val="15"/>
                <w:szCs w:val="15"/>
              </w:rPr>
              <w:sym w:font="Symbol" w:char="F0B1"/>
            </w:r>
            <w:r>
              <w:rPr>
                <w:sz w:val="15"/>
                <w:szCs w:val="15"/>
              </w:rPr>
              <w:t>6.5</w:t>
            </w:r>
          </w:p>
        </w:tc>
        <w:tc>
          <w:tcPr>
            <w:tcW w:w="584" w:type="dxa"/>
            <w:tcBorders>
              <w:top w:val="single" w:color="auto" w:sz="4" w:space="0"/>
              <w:left w:val="single" w:color="auto" w:sz="6" w:space="0"/>
              <w:bottom w:val="single" w:color="auto" w:sz="6" w:space="0"/>
              <w:right w:val="single" w:color="auto" w:sz="6" w:space="0"/>
            </w:tcBorders>
            <w:shd w:val="clear" w:color="auto" w:fill="auto"/>
          </w:tcPr>
          <w:p w14:paraId="37DCD779">
            <w:pPr>
              <w:pStyle w:val="15"/>
              <w:rPr>
                <w:sz w:val="15"/>
                <w:szCs w:val="15"/>
              </w:rPr>
            </w:pPr>
            <w:r>
              <w:rPr>
                <w:sz w:val="15"/>
                <w:szCs w:val="15"/>
              </w:rPr>
              <w:sym w:font="Symbol" w:char="F0B1"/>
            </w:r>
            <w:r>
              <w:rPr>
                <w:sz w:val="15"/>
                <w:szCs w:val="15"/>
              </w:rPr>
              <w:t>7</w:t>
            </w:r>
          </w:p>
        </w:tc>
        <w:tc>
          <w:tcPr>
            <w:tcW w:w="584" w:type="dxa"/>
            <w:tcBorders>
              <w:top w:val="single" w:color="auto" w:sz="4" w:space="0"/>
              <w:left w:val="single" w:color="auto" w:sz="6" w:space="0"/>
              <w:bottom w:val="single" w:color="auto" w:sz="6" w:space="0"/>
              <w:right w:val="single" w:color="auto" w:sz="6" w:space="0"/>
            </w:tcBorders>
            <w:shd w:val="clear" w:color="auto" w:fill="auto"/>
          </w:tcPr>
          <w:p w14:paraId="2E431FDD">
            <w:pPr>
              <w:pStyle w:val="15"/>
              <w:rPr>
                <w:sz w:val="15"/>
                <w:szCs w:val="15"/>
              </w:rPr>
            </w:pPr>
            <w:r>
              <w:rPr>
                <w:sz w:val="15"/>
                <w:szCs w:val="15"/>
              </w:rPr>
              <w:sym w:font="Symbol" w:char="F0B1"/>
            </w:r>
            <w:r>
              <w:rPr>
                <w:sz w:val="15"/>
                <w:szCs w:val="15"/>
              </w:rPr>
              <w:t>8.5</w:t>
            </w:r>
          </w:p>
        </w:tc>
        <w:tc>
          <w:tcPr>
            <w:tcW w:w="584" w:type="dxa"/>
            <w:tcBorders>
              <w:top w:val="single" w:color="auto" w:sz="4" w:space="0"/>
              <w:left w:val="single" w:color="auto" w:sz="6" w:space="0"/>
              <w:bottom w:val="single" w:color="auto" w:sz="6" w:space="0"/>
              <w:right w:val="single" w:color="auto" w:sz="6" w:space="0"/>
            </w:tcBorders>
            <w:shd w:val="clear" w:color="auto" w:fill="auto"/>
          </w:tcPr>
          <w:p w14:paraId="602A3222">
            <w:pPr>
              <w:pStyle w:val="15"/>
              <w:rPr>
                <w:sz w:val="15"/>
                <w:szCs w:val="15"/>
              </w:rPr>
            </w:pPr>
            <w:r>
              <w:rPr>
                <w:sz w:val="15"/>
                <w:szCs w:val="15"/>
              </w:rPr>
              <w:sym w:font="Symbol" w:char="F0B1"/>
            </w:r>
            <w:r>
              <w:rPr>
                <w:sz w:val="15"/>
                <w:szCs w:val="15"/>
              </w:rPr>
              <w:t>9.5</w:t>
            </w:r>
          </w:p>
        </w:tc>
        <w:tc>
          <w:tcPr>
            <w:tcW w:w="589" w:type="dxa"/>
            <w:tcBorders>
              <w:top w:val="single" w:color="auto" w:sz="4" w:space="0"/>
              <w:left w:val="single" w:color="auto" w:sz="6" w:space="0"/>
              <w:bottom w:val="single" w:color="auto" w:sz="6" w:space="0"/>
              <w:right w:val="single" w:color="auto" w:sz="6" w:space="0"/>
            </w:tcBorders>
            <w:shd w:val="clear" w:color="auto" w:fill="auto"/>
          </w:tcPr>
          <w:p w14:paraId="4DD21BD1">
            <w:pPr>
              <w:pStyle w:val="15"/>
              <w:rPr>
                <w:sz w:val="15"/>
                <w:szCs w:val="15"/>
              </w:rPr>
            </w:pPr>
            <w:r>
              <w:rPr>
                <w:sz w:val="15"/>
                <w:szCs w:val="15"/>
              </w:rPr>
              <w:sym w:font="Symbol" w:char="F0B1"/>
            </w:r>
            <w:r>
              <w:rPr>
                <w:sz w:val="15"/>
                <w:szCs w:val="15"/>
              </w:rPr>
              <w:t>10</w:t>
            </w:r>
          </w:p>
        </w:tc>
        <w:tc>
          <w:tcPr>
            <w:tcW w:w="665" w:type="dxa"/>
            <w:tcBorders>
              <w:top w:val="single" w:color="auto" w:sz="4" w:space="0"/>
              <w:left w:val="single" w:color="auto" w:sz="6" w:space="0"/>
              <w:bottom w:val="single" w:color="auto" w:sz="6" w:space="0"/>
              <w:right w:val="single" w:color="auto" w:sz="6" w:space="0"/>
            </w:tcBorders>
            <w:shd w:val="clear" w:color="auto" w:fill="auto"/>
          </w:tcPr>
          <w:p w14:paraId="1081F61F">
            <w:pPr>
              <w:pStyle w:val="15"/>
              <w:rPr>
                <w:sz w:val="15"/>
                <w:szCs w:val="15"/>
              </w:rPr>
            </w:pPr>
            <w:r>
              <w:rPr>
                <w:sz w:val="15"/>
                <w:szCs w:val="15"/>
              </w:rPr>
              <w:sym w:font="Symbol" w:char="F0B1"/>
            </w:r>
            <w:r>
              <w:rPr>
                <w:sz w:val="15"/>
                <w:szCs w:val="15"/>
              </w:rPr>
              <w:t>11.5</w:t>
            </w:r>
          </w:p>
        </w:tc>
        <w:tc>
          <w:tcPr>
            <w:tcW w:w="536" w:type="dxa"/>
            <w:tcBorders>
              <w:top w:val="single" w:color="auto" w:sz="4" w:space="0"/>
              <w:left w:val="single" w:color="auto" w:sz="6" w:space="0"/>
              <w:bottom w:val="single" w:color="auto" w:sz="6" w:space="0"/>
              <w:right w:val="single" w:color="auto" w:sz="6" w:space="0"/>
            </w:tcBorders>
            <w:shd w:val="clear" w:color="auto" w:fill="auto"/>
          </w:tcPr>
          <w:p w14:paraId="64CBCAE4">
            <w:pPr>
              <w:pStyle w:val="15"/>
              <w:rPr>
                <w:sz w:val="15"/>
                <w:szCs w:val="15"/>
              </w:rPr>
            </w:pPr>
            <w:r>
              <w:rPr>
                <w:sz w:val="15"/>
                <w:szCs w:val="15"/>
              </w:rPr>
              <w:sym w:font="Symbol" w:char="F0B3"/>
            </w:r>
            <w:r>
              <w:rPr>
                <w:sz w:val="15"/>
                <w:szCs w:val="15"/>
              </w:rPr>
              <w:t>1</w:t>
            </w:r>
          </w:p>
        </w:tc>
        <w:tc>
          <w:tcPr>
            <w:tcW w:w="1240" w:type="dxa"/>
            <w:tcBorders>
              <w:top w:val="single" w:color="auto" w:sz="6" w:space="0"/>
              <w:left w:val="single" w:color="auto" w:sz="6" w:space="0"/>
              <w:bottom w:val="single" w:color="auto" w:sz="6" w:space="0"/>
              <w:right w:val="single" w:color="auto" w:sz="4" w:space="0"/>
            </w:tcBorders>
            <w:shd w:val="clear" w:color="auto" w:fill="auto"/>
          </w:tcPr>
          <w:p w14:paraId="79337F8A">
            <w:pPr>
              <w:pStyle w:val="15"/>
              <w:rPr>
                <w:sz w:val="15"/>
                <w:szCs w:val="15"/>
              </w:rPr>
            </w:pPr>
            <w:r>
              <w:rPr>
                <w:sz w:val="15"/>
                <w:szCs w:val="15"/>
              </w:rPr>
              <w:t>NR_TDD_FR1_A,</w:t>
            </w:r>
          </w:p>
          <w:p w14:paraId="47B0D4DB">
            <w:pPr>
              <w:pStyle w:val="15"/>
              <w:rPr>
                <w:sz w:val="15"/>
                <w:szCs w:val="15"/>
              </w:rPr>
            </w:pPr>
            <w:r>
              <w:rPr>
                <w:sz w:val="15"/>
                <w:szCs w:val="15"/>
              </w:rPr>
              <w:t>NR_TDD_FR1_C, NR_TDD_FR1_D, NR_TDD_FR1_E</w:t>
            </w:r>
          </w:p>
        </w:tc>
        <w:tc>
          <w:tcPr>
            <w:tcW w:w="618" w:type="dxa"/>
            <w:tcBorders>
              <w:top w:val="single" w:color="auto" w:sz="6" w:space="0"/>
              <w:left w:val="single" w:color="auto" w:sz="4" w:space="0"/>
              <w:bottom w:val="single" w:color="auto" w:sz="4" w:space="0"/>
              <w:right w:val="single" w:color="auto" w:sz="6" w:space="0"/>
            </w:tcBorders>
            <w:shd w:val="clear" w:color="auto" w:fill="auto"/>
          </w:tcPr>
          <w:p w14:paraId="65E2BBFC">
            <w:pPr>
              <w:pStyle w:val="15"/>
              <w:rPr>
                <w:sz w:val="15"/>
                <w:szCs w:val="15"/>
              </w:rPr>
            </w:pPr>
            <w:r>
              <w:rPr>
                <w:sz w:val="15"/>
                <w:szCs w:val="15"/>
              </w:rPr>
              <w:t>N/A</w:t>
            </w:r>
          </w:p>
        </w:tc>
        <w:tc>
          <w:tcPr>
            <w:tcW w:w="618" w:type="dxa"/>
            <w:tcBorders>
              <w:top w:val="single" w:color="auto" w:sz="6" w:space="0"/>
              <w:left w:val="single" w:color="auto" w:sz="4" w:space="0"/>
              <w:bottom w:val="single" w:color="auto" w:sz="4" w:space="0"/>
              <w:right w:val="single" w:color="auto" w:sz="6" w:space="0"/>
            </w:tcBorders>
            <w:shd w:val="clear" w:color="auto" w:fill="auto"/>
          </w:tcPr>
          <w:p w14:paraId="46529800">
            <w:pPr>
              <w:pStyle w:val="15"/>
              <w:rPr>
                <w:sz w:val="15"/>
                <w:szCs w:val="15"/>
                <w:lang w:eastAsia="zh-CN"/>
              </w:rPr>
            </w:pPr>
            <w:r>
              <w:rPr>
                <w:sz w:val="15"/>
                <w:szCs w:val="15"/>
                <w:lang w:eastAsia="zh-CN"/>
              </w:rPr>
              <w:t>N/A</w:t>
            </w:r>
          </w:p>
        </w:tc>
        <w:tc>
          <w:tcPr>
            <w:tcW w:w="620" w:type="dxa"/>
            <w:tcBorders>
              <w:top w:val="single" w:color="auto" w:sz="6" w:space="0"/>
              <w:left w:val="single" w:color="auto" w:sz="4" w:space="0"/>
              <w:bottom w:val="single" w:color="auto" w:sz="4" w:space="0"/>
              <w:right w:val="single" w:color="auto" w:sz="6" w:space="0"/>
            </w:tcBorders>
            <w:shd w:val="clear" w:color="auto" w:fill="auto"/>
          </w:tcPr>
          <w:p w14:paraId="699E0F97">
            <w:pPr>
              <w:pStyle w:val="15"/>
              <w:rPr>
                <w:sz w:val="15"/>
                <w:szCs w:val="15"/>
                <w:lang w:eastAsia="zh-CN"/>
              </w:rPr>
            </w:pPr>
            <w:r>
              <w:rPr>
                <w:sz w:val="15"/>
                <w:szCs w:val="15"/>
                <w:lang w:eastAsia="zh-CN"/>
              </w:rPr>
              <w:t>N/A</w:t>
            </w:r>
          </w:p>
        </w:tc>
        <w:tc>
          <w:tcPr>
            <w:tcW w:w="728" w:type="dxa"/>
            <w:tcBorders>
              <w:top w:val="single" w:color="auto" w:sz="6" w:space="0"/>
              <w:left w:val="single" w:color="auto" w:sz="6" w:space="0"/>
              <w:bottom w:val="single" w:color="auto" w:sz="4" w:space="0"/>
              <w:right w:val="single" w:color="auto" w:sz="6" w:space="0"/>
            </w:tcBorders>
            <w:shd w:val="clear" w:color="auto" w:fill="auto"/>
          </w:tcPr>
          <w:p w14:paraId="6FC8FAA8">
            <w:pPr>
              <w:pStyle w:val="15"/>
              <w:rPr>
                <w:sz w:val="15"/>
                <w:szCs w:val="15"/>
              </w:rPr>
            </w:pPr>
            <w:r>
              <w:rPr>
                <w:sz w:val="15"/>
                <w:szCs w:val="15"/>
              </w:rPr>
              <w:t>-70</w:t>
            </w:r>
          </w:p>
        </w:tc>
        <w:tc>
          <w:tcPr>
            <w:tcW w:w="790" w:type="dxa"/>
            <w:tcBorders>
              <w:top w:val="single" w:color="auto" w:sz="6" w:space="0"/>
              <w:left w:val="single" w:color="auto" w:sz="6" w:space="0"/>
              <w:bottom w:val="single" w:color="auto" w:sz="4" w:space="0"/>
              <w:right w:val="single" w:color="auto" w:sz="4" w:space="0"/>
            </w:tcBorders>
            <w:shd w:val="clear" w:color="auto" w:fill="auto"/>
          </w:tcPr>
          <w:p w14:paraId="0C44E0F7">
            <w:pPr>
              <w:pStyle w:val="15"/>
              <w:rPr>
                <w:sz w:val="15"/>
                <w:szCs w:val="15"/>
              </w:rPr>
            </w:pPr>
            <w:r>
              <w:rPr>
                <w:sz w:val="15"/>
                <w:szCs w:val="15"/>
              </w:rPr>
              <w:t>-50</w:t>
            </w:r>
          </w:p>
        </w:tc>
      </w:tr>
      <w:tr w14:paraId="1A5241E3">
        <w:tblPrEx>
          <w:tblCellMar>
            <w:top w:w="0" w:type="dxa"/>
            <w:left w:w="108" w:type="dxa"/>
            <w:bottom w:w="0" w:type="dxa"/>
            <w:right w:w="108" w:type="dxa"/>
          </w:tblCellMar>
        </w:tblPrEx>
        <w:trPr>
          <w:trHeight w:val="561" w:hRule="atLeast"/>
          <w:jc w:val="center"/>
        </w:trPr>
        <w:tc>
          <w:tcPr>
            <w:tcW w:w="8739" w:type="dxa"/>
            <w:gridSpan w:val="13"/>
            <w:tcBorders>
              <w:top w:val="single" w:color="auto" w:sz="6" w:space="0"/>
              <w:left w:val="single" w:color="auto" w:sz="6" w:space="0"/>
              <w:bottom w:val="single" w:color="auto" w:sz="6" w:space="0"/>
              <w:right w:val="single" w:color="auto" w:sz="6" w:space="0"/>
            </w:tcBorders>
            <w:shd w:val="clear" w:color="auto" w:fill="auto"/>
            <w:vAlign w:val="center"/>
          </w:tcPr>
          <w:p w14:paraId="7B180306">
            <w:pPr>
              <w:pStyle w:val="17"/>
              <w:rPr>
                <w:sz w:val="15"/>
                <w:szCs w:val="15"/>
              </w:rPr>
            </w:pPr>
            <w:r>
              <w:rPr>
                <w:sz w:val="15"/>
                <w:szCs w:val="15"/>
              </w:rPr>
              <w:t>NOTE 1:</w:t>
            </w:r>
            <w:r>
              <w:rPr>
                <w:sz w:val="15"/>
                <w:szCs w:val="15"/>
              </w:rPr>
              <w:tab/>
            </w:r>
            <w:r>
              <w:rPr>
                <w:sz w:val="15"/>
                <w:szCs w:val="15"/>
              </w:rPr>
              <w:t>Io is assumed to have constant EPRE across the bandwidth.</w:t>
            </w:r>
          </w:p>
          <w:p w14:paraId="6338EFBE">
            <w:pPr>
              <w:pStyle w:val="17"/>
              <w:rPr>
                <w:sz w:val="15"/>
                <w:szCs w:val="15"/>
              </w:rPr>
            </w:pPr>
            <w:r>
              <w:rPr>
                <w:sz w:val="15"/>
                <w:szCs w:val="15"/>
              </w:rPr>
              <w:t>NOTE 2:</w:t>
            </w:r>
            <w:r>
              <w:rPr>
                <w:sz w:val="15"/>
                <w:szCs w:val="15"/>
              </w:rPr>
              <w:tab/>
            </w:r>
            <w:r>
              <w:rPr>
                <w:sz w:val="15"/>
                <w:szCs w:val="15"/>
              </w:rPr>
              <w:t>NR operating band groups in FR1 are as defined in clause 3.5.2.</w:t>
            </w:r>
          </w:p>
        </w:tc>
      </w:tr>
    </w:tbl>
    <w:p w14:paraId="375D477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olor w:val="000000"/>
          <w:sz w:val="20"/>
          <w:szCs w:val="20"/>
          <w:lang w:val="en-US" w:eastAsia="zh-CN"/>
        </w:rPr>
      </w:pPr>
    </w:p>
    <w:p w14:paraId="1AA45B37">
      <w:pPr>
        <w:pStyle w:val="13"/>
      </w:pPr>
      <w:r>
        <w:t>Table 10.1.22.1.1-2: SRS-RSRP absolute accuracy in FR2</w:t>
      </w:r>
    </w:p>
    <w:tbl>
      <w:tblPr>
        <w:tblStyle w:val="8"/>
        <w:tblW w:w="8720" w:type="dxa"/>
        <w:jc w:val="center"/>
        <w:tblLayout w:type="autofit"/>
        <w:tblCellMar>
          <w:top w:w="0" w:type="dxa"/>
          <w:left w:w="108" w:type="dxa"/>
          <w:bottom w:w="0" w:type="dxa"/>
          <w:right w:w="108" w:type="dxa"/>
        </w:tblCellMar>
      </w:tblPr>
      <w:tblGrid>
        <w:gridCol w:w="666"/>
        <w:gridCol w:w="1015"/>
        <w:gridCol w:w="765"/>
        <w:gridCol w:w="1015"/>
        <w:gridCol w:w="707"/>
        <w:gridCol w:w="834"/>
        <w:gridCol w:w="838"/>
        <w:gridCol w:w="1440"/>
        <w:gridCol w:w="1440"/>
      </w:tblGrid>
      <w:tr w14:paraId="6F739D6F">
        <w:tblPrEx>
          <w:tblCellMar>
            <w:top w:w="0" w:type="dxa"/>
            <w:left w:w="108" w:type="dxa"/>
            <w:bottom w:w="0" w:type="dxa"/>
            <w:right w:w="108" w:type="dxa"/>
          </w:tblCellMar>
        </w:tblPrEx>
        <w:trPr>
          <w:jc w:val="center"/>
        </w:trPr>
        <w:tc>
          <w:tcPr>
            <w:tcW w:w="3461"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14:paraId="2E4C1955">
            <w:pPr>
              <w:pStyle w:val="14"/>
              <w:rPr>
                <w:sz w:val="15"/>
                <w:szCs w:val="15"/>
              </w:rPr>
            </w:pPr>
            <w:r>
              <w:rPr>
                <w:sz w:val="15"/>
                <w:szCs w:val="15"/>
              </w:rPr>
              <w:t>Accuracy</w:t>
            </w:r>
          </w:p>
        </w:tc>
        <w:tc>
          <w:tcPr>
            <w:tcW w:w="5259" w:type="dxa"/>
            <w:gridSpan w:val="5"/>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14:paraId="3874AF3E">
            <w:pPr>
              <w:pStyle w:val="14"/>
              <w:rPr>
                <w:sz w:val="15"/>
                <w:szCs w:val="15"/>
              </w:rPr>
            </w:pPr>
            <w:r>
              <w:rPr>
                <w:sz w:val="15"/>
                <w:szCs w:val="15"/>
              </w:rPr>
              <w:t>Conditions</w:t>
            </w:r>
          </w:p>
        </w:tc>
      </w:tr>
      <w:tr w14:paraId="6A24948C">
        <w:tblPrEx>
          <w:tblCellMar>
            <w:top w:w="0" w:type="dxa"/>
            <w:left w:w="108" w:type="dxa"/>
            <w:bottom w:w="0" w:type="dxa"/>
            <w:right w:w="108" w:type="dxa"/>
          </w:tblCellMar>
        </w:tblPrEx>
        <w:trPr>
          <w:jc w:val="center"/>
        </w:trPr>
        <w:tc>
          <w:tcPr>
            <w:tcW w:w="1681" w:type="dxa"/>
            <w:gridSpan w:val="2"/>
            <w:tcBorders>
              <w:top w:val="single" w:color="000000" w:themeColor="text1" w:sz="6" w:space="0"/>
              <w:left w:val="single" w:color="000000" w:themeColor="text1" w:sz="6" w:space="0"/>
              <w:right w:val="single" w:color="000000" w:themeColor="text1" w:sz="6" w:space="0"/>
            </w:tcBorders>
            <w:vAlign w:val="center"/>
          </w:tcPr>
          <w:p w14:paraId="416BA934">
            <w:pPr>
              <w:pStyle w:val="14"/>
              <w:rPr>
                <w:sz w:val="15"/>
                <w:szCs w:val="15"/>
              </w:rPr>
            </w:pPr>
            <w:r>
              <w:rPr>
                <w:sz w:val="15"/>
                <w:szCs w:val="15"/>
              </w:rPr>
              <w:t>Normal condition</w:t>
            </w:r>
          </w:p>
        </w:tc>
        <w:tc>
          <w:tcPr>
            <w:tcW w:w="1780" w:type="dxa"/>
            <w:gridSpan w:val="2"/>
            <w:tcBorders>
              <w:top w:val="single" w:color="000000" w:themeColor="text1" w:sz="6" w:space="0"/>
              <w:left w:val="single" w:color="000000" w:themeColor="text1" w:sz="6" w:space="0"/>
              <w:right w:val="single" w:color="000000" w:themeColor="text1" w:sz="6" w:space="0"/>
            </w:tcBorders>
            <w:vAlign w:val="center"/>
          </w:tcPr>
          <w:p w14:paraId="5A470FB9">
            <w:pPr>
              <w:pStyle w:val="14"/>
              <w:rPr>
                <w:sz w:val="15"/>
                <w:szCs w:val="15"/>
              </w:rPr>
            </w:pPr>
            <w:r>
              <w:rPr>
                <w:sz w:val="15"/>
                <w:szCs w:val="15"/>
              </w:rPr>
              <w:t>Extreme condition</w:t>
            </w:r>
          </w:p>
        </w:tc>
        <w:tc>
          <w:tcPr>
            <w:tcW w:w="707" w:type="dxa"/>
            <w:tcBorders>
              <w:top w:val="single" w:color="000000" w:themeColor="text1" w:sz="6" w:space="0"/>
              <w:left w:val="single" w:color="000000" w:themeColor="text1" w:sz="6" w:space="0"/>
              <w:right w:val="single" w:color="000000" w:themeColor="text1" w:sz="6" w:space="0"/>
            </w:tcBorders>
          </w:tcPr>
          <w:p w14:paraId="73331242">
            <w:pPr>
              <w:pStyle w:val="14"/>
              <w:rPr>
                <w:sz w:val="15"/>
                <w:szCs w:val="15"/>
              </w:rPr>
            </w:pPr>
            <w:r>
              <w:rPr>
                <w:rFonts w:cs="Arial"/>
                <w:sz w:val="15"/>
                <w:szCs w:val="15"/>
              </w:rPr>
              <w:t>SRS Ês/Iot</w:t>
            </w:r>
          </w:p>
        </w:tc>
        <w:tc>
          <w:tcPr>
            <w:tcW w:w="4552"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14:paraId="095056F4">
            <w:pPr>
              <w:pStyle w:val="14"/>
              <w:rPr>
                <w:sz w:val="15"/>
                <w:szCs w:val="15"/>
              </w:rPr>
            </w:pPr>
            <w:r>
              <w:rPr>
                <w:sz w:val="15"/>
                <w:szCs w:val="15"/>
              </w:rPr>
              <w:t>Io</w:t>
            </w:r>
            <w:r>
              <w:rPr>
                <w:sz w:val="15"/>
                <w:szCs w:val="15"/>
                <w:vertAlign w:val="superscript"/>
              </w:rPr>
              <w:t xml:space="preserve"> Note 1</w:t>
            </w:r>
            <w:r>
              <w:rPr>
                <w:sz w:val="15"/>
                <w:szCs w:val="15"/>
              </w:rPr>
              <w:t xml:space="preserve"> range</w:t>
            </w:r>
          </w:p>
        </w:tc>
      </w:tr>
      <w:tr w14:paraId="7AA2C32B">
        <w:tblPrEx>
          <w:tblCellMar>
            <w:top w:w="0" w:type="dxa"/>
            <w:left w:w="108" w:type="dxa"/>
            <w:bottom w:w="0" w:type="dxa"/>
            <w:right w:w="108" w:type="dxa"/>
          </w:tblCellMar>
        </w:tblPrEx>
        <w:trPr>
          <w:jc w:val="center"/>
        </w:trPr>
        <w:tc>
          <w:tcPr>
            <w:tcW w:w="0" w:type="auto"/>
            <w:gridSpan w:val="2"/>
            <w:tcBorders>
              <w:left w:val="single" w:color="000000" w:themeColor="text1" w:sz="6" w:space="0"/>
              <w:bottom w:val="single" w:color="000000" w:themeColor="text1" w:sz="6" w:space="0"/>
              <w:right w:val="single" w:color="000000" w:themeColor="text1" w:sz="6" w:space="0"/>
            </w:tcBorders>
            <w:vAlign w:val="center"/>
          </w:tcPr>
          <w:p w14:paraId="1863AAC2">
            <w:pPr>
              <w:pStyle w:val="14"/>
              <w:rPr>
                <w:sz w:val="15"/>
                <w:szCs w:val="15"/>
              </w:rPr>
            </w:pPr>
          </w:p>
        </w:tc>
        <w:tc>
          <w:tcPr>
            <w:tcW w:w="0" w:type="auto"/>
            <w:gridSpan w:val="2"/>
            <w:tcBorders>
              <w:left w:val="single" w:color="000000" w:themeColor="text1" w:sz="6" w:space="0"/>
              <w:bottom w:val="single" w:color="000000" w:themeColor="text1" w:sz="6" w:space="0"/>
              <w:right w:val="single" w:color="000000" w:themeColor="text1" w:sz="6" w:space="0"/>
            </w:tcBorders>
            <w:vAlign w:val="center"/>
          </w:tcPr>
          <w:p w14:paraId="429A9D88">
            <w:pPr>
              <w:pStyle w:val="14"/>
              <w:rPr>
                <w:sz w:val="15"/>
                <w:szCs w:val="15"/>
              </w:rPr>
            </w:pPr>
          </w:p>
        </w:tc>
        <w:tc>
          <w:tcPr>
            <w:tcW w:w="707" w:type="dxa"/>
            <w:tcBorders>
              <w:left w:val="single" w:color="000000" w:themeColor="text1" w:sz="6" w:space="0"/>
              <w:bottom w:val="single" w:color="000000" w:themeColor="text1" w:sz="6" w:space="0"/>
              <w:right w:val="single" w:color="000000" w:themeColor="text1" w:sz="6" w:space="0"/>
            </w:tcBorders>
            <w:vAlign w:val="center"/>
          </w:tcPr>
          <w:p w14:paraId="409A4811">
            <w:pPr>
              <w:pStyle w:val="14"/>
              <w:rPr>
                <w:sz w:val="15"/>
                <w:szCs w:val="15"/>
              </w:rPr>
            </w:pPr>
          </w:p>
        </w:tc>
        <w:tc>
          <w:tcPr>
            <w:tcW w:w="3112" w:type="dxa"/>
            <w:gridSpan w:val="3"/>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14:paraId="79CB8FF6">
            <w:pPr>
              <w:pStyle w:val="14"/>
              <w:rPr>
                <w:sz w:val="15"/>
                <w:szCs w:val="15"/>
              </w:rPr>
            </w:pPr>
            <w:r>
              <w:rPr>
                <w:sz w:val="15"/>
                <w:szCs w:val="15"/>
              </w:rPr>
              <w:t>Minimum Io</w:t>
            </w:r>
          </w:p>
        </w:tc>
        <w:tc>
          <w:tcPr>
            <w:tcW w:w="144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14:paraId="115EBDC4">
            <w:pPr>
              <w:pStyle w:val="14"/>
              <w:rPr>
                <w:sz w:val="15"/>
                <w:szCs w:val="15"/>
              </w:rPr>
            </w:pPr>
            <w:r>
              <w:rPr>
                <w:sz w:val="15"/>
                <w:szCs w:val="15"/>
              </w:rPr>
              <w:t>Maximum Io</w:t>
            </w:r>
          </w:p>
        </w:tc>
      </w:tr>
      <w:tr w14:paraId="28F788CF">
        <w:tblPrEx>
          <w:tblCellMar>
            <w:top w:w="0" w:type="dxa"/>
            <w:left w:w="108" w:type="dxa"/>
            <w:bottom w:w="0" w:type="dxa"/>
            <w:right w:w="108" w:type="dxa"/>
          </w:tblCellMar>
        </w:tblPrEx>
        <w:trPr>
          <w:jc w:val="center"/>
        </w:trPr>
        <w:tc>
          <w:tcPr>
            <w:tcW w:w="3461"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14:paraId="512646F3">
            <w:pPr>
              <w:pStyle w:val="14"/>
              <w:rPr>
                <w:sz w:val="15"/>
                <w:szCs w:val="15"/>
              </w:rPr>
            </w:pPr>
            <w:r>
              <w:rPr>
                <w:sz w:val="15"/>
                <w:szCs w:val="15"/>
              </w:rPr>
              <w:t>dB</w:t>
            </w:r>
          </w:p>
        </w:tc>
        <w:tc>
          <w:tcPr>
            <w:tcW w:w="707" w:type="dxa"/>
            <w:tcBorders>
              <w:top w:val="single" w:color="000000" w:themeColor="text1" w:sz="6" w:space="0"/>
              <w:left w:val="single" w:color="000000" w:themeColor="text1" w:sz="6" w:space="0"/>
              <w:right w:val="single" w:color="000000" w:themeColor="text1" w:sz="6" w:space="0"/>
            </w:tcBorders>
            <w:vAlign w:val="center"/>
          </w:tcPr>
          <w:p w14:paraId="447CBBB5">
            <w:pPr>
              <w:pStyle w:val="14"/>
              <w:rPr>
                <w:rFonts w:cs="Arial"/>
                <w:sz w:val="15"/>
                <w:szCs w:val="15"/>
              </w:rPr>
            </w:pPr>
            <w:r>
              <w:rPr>
                <w:sz w:val="15"/>
                <w:szCs w:val="15"/>
              </w:rPr>
              <w:t>dB</w:t>
            </w:r>
          </w:p>
        </w:tc>
        <w:tc>
          <w:tcPr>
            <w:tcW w:w="1672"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14:paraId="0039EA05">
            <w:pPr>
              <w:pStyle w:val="14"/>
              <w:rPr>
                <w:sz w:val="15"/>
                <w:szCs w:val="15"/>
              </w:rPr>
            </w:pPr>
            <w:r>
              <w:rPr>
                <w:rFonts w:cs="Arial"/>
                <w:sz w:val="15"/>
                <w:szCs w:val="15"/>
              </w:rPr>
              <w:t xml:space="preserve">dBm / </w:t>
            </w:r>
            <w:r>
              <w:rPr>
                <w:sz w:val="15"/>
                <w:szCs w:val="15"/>
              </w:rPr>
              <w:t>SCS</w:t>
            </w:r>
            <w:r>
              <w:rPr>
                <w:sz w:val="15"/>
                <w:szCs w:val="15"/>
                <w:vertAlign w:val="subscript"/>
              </w:rPr>
              <w:t>SRS</w:t>
            </w:r>
            <w:r>
              <w:rPr>
                <w:sz w:val="15"/>
                <w:szCs w:val="15"/>
                <w:vertAlign w:val="superscript"/>
              </w:rPr>
              <w:t xml:space="preserve"> Note 2</w:t>
            </w:r>
          </w:p>
        </w:tc>
        <w:tc>
          <w:tcPr>
            <w:tcW w:w="1440" w:type="dxa"/>
            <w:tcBorders>
              <w:top w:val="single" w:color="000000" w:themeColor="text1" w:sz="6" w:space="0"/>
              <w:left w:val="single" w:color="000000" w:themeColor="text1" w:sz="6" w:space="0"/>
              <w:right w:val="single" w:color="000000" w:themeColor="text1" w:sz="6" w:space="0"/>
            </w:tcBorders>
            <w:vAlign w:val="center"/>
          </w:tcPr>
          <w:p w14:paraId="48D37E6F">
            <w:pPr>
              <w:pStyle w:val="14"/>
              <w:rPr>
                <w:sz w:val="15"/>
                <w:szCs w:val="15"/>
              </w:rPr>
            </w:pPr>
            <w:r>
              <w:rPr>
                <w:sz w:val="15"/>
                <w:szCs w:val="15"/>
              </w:rPr>
              <w:t>dBm/BW</w:t>
            </w:r>
            <w:r>
              <w:rPr>
                <w:sz w:val="15"/>
                <w:szCs w:val="15"/>
                <w:vertAlign w:val="subscript"/>
              </w:rPr>
              <w:t>Channel</w:t>
            </w:r>
          </w:p>
        </w:tc>
        <w:tc>
          <w:tcPr>
            <w:tcW w:w="1440" w:type="dxa"/>
            <w:tcBorders>
              <w:top w:val="single" w:color="000000" w:themeColor="text1" w:sz="6" w:space="0"/>
              <w:left w:val="single" w:color="000000" w:themeColor="text1" w:sz="6" w:space="0"/>
              <w:right w:val="single" w:color="000000" w:themeColor="text1" w:sz="6" w:space="0"/>
            </w:tcBorders>
            <w:vAlign w:val="center"/>
          </w:tcPr>
          <w:p w14:paraId="74A64024">
            <w:pPr>
              <w:pStyle w:val="14"/>
              <w:rPr>
                <w:sz w:val="15"/>
                <w:szCs w:val="15"/>
              </w:rPr>
            </w:pPr>
            <w:r>
              <w:rPr>
                <w:sz w:val="15"/>
                <w:szCs w:val="15"/>
              </w:rPr>
              <w:t>dBm/BW</w:t>
            </w:r>
            <w:r>
              <w:rPr>
                <w:sz w:val="15"/>
                <w:szCs w:val="15"/>
                <w:vertAlign w:val="subscript"/>
              </w:rPr>
              <w:t>Channel</w:t>
            </w:r>
          </w:p>
        </w:tc>
      </w:tr>
      <w:tr w14:paraId="62B77258">
        <w:tblPrEx>
          <w:tblCellMar>
            <w:top w:w="0" w:type="dxa"/>
            <w:left w:w="108" w:type="dxa"/>
            <w:bottom w:w="0" w:type="dxa"/>
            <w:right w:w="108" w:type="dxa"/>
          </w:tblCellMar>
        </w:tblPrEx>
        <w:trPr>
          <w:trHeight w:val="117" w:hRule="atLeast"/>
          <w:jc w:val="center"/>
        </w:trPr>
        <w:tc>
          <w:tcPr>
            <w:tcW w:w="0" w:type="auto"/>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14:paraId="3B483E0C">
            <w:pPr>
              <w:pStyle w:val="14"/>
              <w:rPr>
                <w:sz w:val="15"/>
                <w:szCs w:val="15"/>
              </w:rPr>
            </w:pPr>
            <w:r>
              <w:rPr>
                <w:sz w:val="15"/>
                <w:szCs w:val="15"/>
              </w:rPr>
              <w:t>SCS</w:t>
            </w:r>
            <w:r>
              <w:rPr>
                <w:sz w:val="15"/>
                <w:szCs w:val="15"/>
                <w:vertAlign w:val="subscript"/>
              </w:rPr>
              <w:t>SRS</w:t>
            </w:r>
            <w:r>
              <w:rPr>
                <w:sz w:val="15"/>
                <w:szCs w:val="15"/>
              </w:rPr>
              <w:t xml:space="preserve"> (kHz)</w:t>
            </w:r>
          </w:p>
        </w:tc>
        <w:tc>
          <w:tcPr>
            <w:tcW w:w="0" w:type="auto"/>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14:paraId="5D812BD3">
            <w:pPr>
              <w:pStyle w:val="14"/>
              <w:rPr>
                <w:sz w:val="15"/>
                <w:szCs w:val="15"/>
              </w:rPr>
            </w:pPr>
            <w:r>
              <w:rPr>
                <w:sz w:val="15"/>
                <w:szCs w:val="15"/>
              </w:rPr>
              <w:t>SCS</w:t>
            </w:r>
            <w:r>
              <w:rPr>
                <w:sz w:val="15"/>
                <w:szCs w:val="15"/>
                <w:vertAlign w:val="subscript"/>
              </w:rPr>
              <w:t>SRS</w:t>
            </w:r>
            <w:r>
              <w:rPr>
                <w:sz w:val="15"/>
                <w:szCs w:val="15"/>
              </w:rPr>
              <w:t xml:space="preserve"> (kHz)</w:t>
            </w:r>
          </w:p>
        </w:tc>
        <w:tc>
          <w:tcPr>
            <w:tcW w:w="707" w:type="dxa"/>
            <w:tcBorders>
              <w:left w:val="single" w:color="000000" w:themeColor="text1" w:sz="6" w:space="0"/>
              <w:right w:val="single" w:color="000000" w:themeColor="text1" w:sz="6" w:space="0"/>
            </w:tcBorders>
            <w:vAlign w:val="center"/>
          </w:tcPr>
          <w:p w14:paraId="3F7B12D9">
            <w:pPr>
              <w:pStyle w:val="14"/>
              <w:rPr>
                <w:rFonts w:cs="Arial"/>
                <w:sz w:val="15"/>
                <w:szCs w:val="15"/>
              </w:rPr>
            </w:pPr>
          </w:p>
        </w:tc>
        <w:tc>
          <w:tcPr>
            <w:tcW w:w="834" w:type="dxa"/>
            <w:tcBorders>
              <w:top w:val="single" w:color="000000" w:themeColor="text1" w:sz="6" w:space="0"/>
              <w:left w:val="single" w:color="000000" w:themeColor="text1" w:sz="6" w:space="0"/>
              <w:right w:val="single" w:color="000000" w:themeColor="text1" w:sz="6" w:space="0"/>
            </w:tcBorders>
            <w:vAlign w:val="center"/>
          </w:tcPr>
          <w:p w14:paraId="6F8ED676">
            <w:pPr>
              <w:pStyle w:val="14"/>
              <w:rPr>
                <w:sz w:val="15"/>
                <w:szCs w:val="15"/>
              </w:rPr>
            </w:pPr>
            <w:r>
              <w:rPr>
                <w:sz w:val="15"/>
                <w:szCs w:val="15"/>
              </w:rPr>
              <w:t>SCS</w:t>
            </w:r>
            <w:r>
              <w:rPr>
                <w:sz w:val="15"/>
                <w:szCs w:val="15"/>
                <w:vertAlign w:val="subscript"/>
              </w:rPr>
              <w:t>SRS</w:t>
            </w:r>
            <w:r>
              <w:rPr>
                <w:rFonts w:cs="Arial"/>
                <w:sz w:val="15"/>
                <w:szCs w:val="15"/>
              </w:rPr>
              <w:t xml:space="preserve"> = </w:t>
            </w:r>
          </w:p>
        </w:tc>
        <w:tc>
          <w:tcPr>
            <w:tcW w:w="838" w:type="dxa"/>
            <w:tcBorders>
              <w:top w:val="single" w:color="000000" w:themeColor="text1" w:sz="6" w:space="0"/>
              <w:left w:val="single" w:color="000000" w:themeColor="text1" w:sz="6" w:space="0"/>
              <w:right w:val="single" w:color="000000" w:themeColor="text1" w:sz="6" w:space="0"/>
            </w:tcBorders>
            <w:vAlign w:val="center"/>
          </w:tcPr>
          <w:p w14:paraId="55C65F95">
            <w:pPr>
              <w:pStyle w:val="14"/>
              <w:rPr>
                <w:sz w:val="15"/>
                <w:szCs w:val="15"/>
              </w:rPr>
            </w:pPr>
            <w:r>
              <w:rPr>
                <w:sz w:val="15"/>
                <w:szCs w:val="15"/>
              </w:rPr>
              <w:t>SCS</w:t>
            </w:r>
            <w:r>
              <w:rPr>
                <w:sz w:val="15"/>
                <w:szCs w:val="15"/>
                <w:vertAlign w:val="subscript"/>
              </w:rPr>
              <w:t>SRS</w:t>
            </w:r>
            <w:r>
              <w:rPr>
                <w:rFonts w:cs="Arial"/>
                <w:sz w:val="15"/>
                <w:szCs w:val="15"/>
              </w:rPr>
              <w:t xml:space="preserve"> = </w:t>
            </w:r>
          </w:p>
        </w:tc>
        <w:tc>
          <w:tcPr>
            <w:tcW w:w="1440" w:type="dxa"/>
            <w:tcBorders>
              <w:left w:val="single" w:color="000000" w:themeColor="text1" w:sz="6" w:space="0"/>
              <w:right w:val="single" w:color="000000" w:themeColor="text1" w:sz="6" w:space="0"/>
            </w:tcBorders>
            <w:vAlign w:val="center"/>
          </w:tcPr>
          <w:p w14:paraId="364DB491">
            <w:pPr>
              <w:pStyle w:val="14"/>
              <w:rPr>
                <w:sz w:val="15"/>
                <w:szCs w:val="15"/>
              </w:rPr>
            </w:pPr>
          </w:p>
        </w:tc>
        <w:tc>
          <w:tcPr>
            <w:tcW w:w="0" w:type="auto"/>
            <w:tcBorders>
              <w:left w:val="single" w:color="000000" w:themeColor="text1" w:sz="6" w:space="0"/>
              <w:right w:val="single" w:color="000000" w:themeColor="text1" w:sz="6" w:space="0"/>
            </w:tcBorders>
            <w:vAlign w:val="center"/>
          </w:tcPr>
          <w:p w14:paraId="5E14E58E">
            <w:pPr>
              <w:pStyle w:val="14"/>
              <w:rPr>
                <w:sz w:val="15"/>
                <w:szCs w:val="15"/>
              </w:rPr>
            </w:pPr>
          </w:p>
        </w:tc>
      </w:tr>
      <w:tr w14:paraId="743BAD28">
        <w:tblPrEx>
          <w:tblCellMar>
            <w:top w:w="0" w:type="dxa"/>
            <w:left w:w="108" w:type="dxa"/>
            <w:bottom w:w="0" w:type="dxa"/>
            <w:right w:w="108" w:type="dxa"/>
          </w:tblCellMar>
        </w:tblPrEx>
        <w:trPr>
          <w:trHeight w:val="116" w:hRule="atLeast"/>
          <w:jc w:val="center"/>
        </w:trPr>
        <w:tc>
          <w:tcPr>
            <w:tcW w:w="0" w:type="auto"/>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14:paraId="32AA7A2E">
            <w:pPr>
              <w:pStyle w:val="14"/>
              <w:rPr>
                <w:sz w:val="15"/>
                <w:szCs w:val="15"/>
                <w:lang w:eastAsia="zh-CN"/>
              </w:rPr>
            </w:pPr>
            <w:r>
              <w:rPr>
                <w:rFonts w:hint="eastAsia"/>
                <w:sz w:val="15"/>
                <w:szCs w:val="15"/>
                <w:lang w:eastAsia="zh-CN"/>
              </w:rPr>
              <w:t>6</w:t>
            </w:r>
            <w:r>
              <w:rPr>
                <w:sz w:val="15"/>
                <w:szCs w:val="15"/>
                <w:lang w:eastAsia="zh-CN"/>
              </w:rPr>
              <w:t>0</w:t>
            </w:r>
          </w:p>
        </w:tc>
        <w:tc>
          <w:tcPr>
            <w:tcW w:w="0" w:type="auto"/>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14:paraId="511DF2E1">
            <w:pPr>
              <w:pStyle w:val="14"/>
              <w:rPr>
                <w:sz w:val="15"/>
                <w:szCs w:val="15"/>
                <w:lang w:eastAsia="zh-CN"/>
              </w:rPr>
            </w:pPr>
            <w:r>
              <w:rPr>
                <w:rFonts w:hint="eastAsia"/>
                <w:sz w:val="15"/>
                <w:szCs w:val="15"/>
                <w:lang w:eastAsia="zh-CN"/>
              </w:rPr>
              <w:t>1</w:t>
            </w:r>
            <w:r>
              <w:rPr>
                <w:sz w:val="15"/>
                <w:szCs w:val="15"/>
                <w:lang w:eastAsia="zh-CN"/>
              </w:rPr>
              <w:t>20</w:t>
            </w:r>
          </w:p>
        </w:tc>
        <w:tc>
          <w:tcPr>
            <w:tcW w:w="0" w:type="auto"/>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14:paraId="04FB761D">
            <w:pPr>
              <w:pStyle w:val="14"/>
              <w:rPr>
                <w:sz w:val="15"/>
                <w:szCs w:val="15"/>
                <w:lang w:eastAsia="zh-CN"/>
              </w:rPr>
            </w:pPr>
            <w:r>
              <w:rPr>
                <w:rFonts w:hint="eastAsia"/>
                <w:sz w:val="15"/>
                <w:szCs w:val="15"/>
                <w:lang w:eastAsia="zh-CN"/>
              </w:rPr>
              <w:t>6</w:t>
            </w:r>
            <w:r>
              <w:rPr>
                <w:sz w:val="15"/>
                <w:szCs w:val="15"/>
                <w:lang w:eastAsia="zh-CN"/>
              </w:rPr>
              <w:t>0</w:t>
            </w:r>
          </w:p>
        </w:tc>
        <w:tc>
          <w:tcPr>
            <w:tcW w:w="0" w:type="auto"/>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14:paraId="3DEED7E1">
            <w:pPr>
              <w:pStyle w:val="14"/>
              <w:rPr>
                <w:sz w:val="15"/>
                <w:szCs w:val="15"/>
                <w:lang w:eastAsia="zh-CN"/>
              </w:rPr>
            </w:pPr>
            <w:r>
              <w:rPr>
                <w:rFonts w:hint="eastAsia"/>
                <w:sz w:val="15"/>
                <w:szCs w:val="15"/>
                <w:lang w:eastAsia="zh-CN"/>
              </w:rPr>
              <w:t>1</w:t>
            </w:r>
            <w:r>
              <w:rPr>
                <w:sz w:val="15"/>
                <w:szCs w:val="15"/>
                <w:lang w:eastAsia="zh-CN"/>
              </w:rPr>
              <w:t>20</w:t>
            </w:r>
          </w:p>
        </w:tc>
        <w:tc>
          <w:tcPr>
            <w:tcW w:w="707" w:type="dxa"/>
            <w:tcBorders>
              <w:left w:val="single" w:color="000000" w:themeColor="text1" w:sz="6" w:space="0"/>
              <w:bottom w:val="single" w:color="000000" w:themeColor="text1" w:sz="6" w:space="0"/>
              <w:right w:val="single" w:color="000000" w:themeColor="text1" w:sz="6" w:space="0"/>
            </w:tcBorders>
            <w:vAlign w:val="center"/>
          </w:tcPr>
          <w:p w14:paraId="0EDCA610">
            <w:pPr>
              <w:pStyle w:val="14"/>
              <w:rPr>
                <w:rFonts w:cs="Arial"/>
                <w:sz w:val="15"/>
                <w:szCs w:val="15"/>
              </w:rPr>
            </w:pPr>
          </w:p>
        </w:tc>
        <w:tc>
          <w:tcPr>
            <w:tcW w:w="834" w:type="dxa"/>
            <w:tcBorders>
              <w:left w:val="single" w:color="000000" w:themeColor="text1" w:sz="6" w:space="0"/>
              <w:bottom w:val="single" w:color="000000" w:themeColor="text1" w:sz="6" w:space="0"/>
              <w:right w:val="single" w:color="000000" w:themeColor="text1" w:sz="6" w:space="0"/>
            </w:tcBorders>
            <w:vAlign w:val="center"/>
          </w:tcPr>
          <w:p w14:paraId="41DB66B0">
            <w:pPr>
              <w:pStyle w:val="14"/>
              <w:rPr>
                <w:sz w:val="15"/>
                <w:szCs w:val="15"/>
              </w:rPr>
            </w:pPr>
            <w:r>
              <w:rPr>
                <w:rFonts w:cs="Arial"/>
                <w:sz w:val="15"/>
                <w:szCs w:val="15"/>
              </w:rPr>
              <w:t>60kHz</w:t>
            </w:r>
          </w:p>
        </w:tc>
        <w:tc>
          <w:tcPr>
            <w:tcW w:w="838" w:type="dxa"/>
            <w:tcBorders>
              <w:left w:val="single" w:color="000000" w:themeColor="text1" w:sz="6" w:space="0"/>
              <w:bottom w:val="single" w:color="000000" w:themeColor="text1" w:sz="6" w:space="0"/>
              <w:right w:val="single" w:color="000000" w:themeColor="text1" w:sz="6" w:space="0"/>
            </w:tcBorders>
            <w:vAlign w:val="center"/>
          </w:tcPr>
          <w:p w14:paraId="18FF5498">
            <w:pPr>
              <w:pStyle w:val="14"/>
              <w:rPr>
                <w:sz w:val="15"/>
                <w:szCs w:val="15"/>
              </w:rPr>
            </w:pPr>
            <w:r>
              <w:rPr>
                <w:rFonts w:cs="Arial"/>
                <w:sz w:val="15"/>
                <w:szCs w:val="15"/>
              </w:rPr>
              <w:t>120kHz</w:t>
            </w:r>
          </w:p>
        </w:tc>
        <w:tc>
          <w:tcPr>
            <w:tcW w:w="1440" w:type="dxa"/>
            <w:tcBorders>
              <w:left w:val="single" w:color="000000" w:themeColor="text1" w:sz="6" w:space="0"/>
              <w:bottom w:val="single" w:color="000000" w:themeColor="text1" w:sz="6" w:space="0"/>
              <w:right w:val="single" w:color="000000" w:themeColor="text1" w:sz="6" w:space="0"/>
            </w:tcBorders>
            <w:vAlign w:val="center"/>
          </w:tcPr>
          <w:p w14:paraId="165CF8DA">
            <w:pPr>
              <w:pStyle w:val="14"/>
              <w:rPr>
                <w:sz w:val="15"/>
                <w:szCs w:val="15"/>
              </w:rPr>
            </w:pPr>
          </w:p>
        </w:tc>
        <w:tc>
          <w:tcPr>
            <w:tcW w:w="0" w:type="auto"/>
            <w:tcBorders>
              <w:left w:val="single" w:color="000000" w:themeColor="text1" w:sz="6" w:space="0"/>
              <w:bottom w:val="single" w:color="000000" w:themeColor="text1" w:sz="6" w:space="0"/>
              <w:right w:val="single" w:color="000000" w:themeColor="text1" w:sz="6" w:space="0"/>
            </w:tcBorders>
            <w:vAlign w:val="center"/>
          </w:tcPr>
          <w:p w14:paraId="07C38E6D">
            <w:pPr>
              <w:pStyle w:val="14"/>
              <w:rPr>
                <w:sz w:val="15"/>
                <w:szCs w:val="15"/>
              </w:rPr>
            </w:pPr>
          </w:p>
        </w:tc>
      </w:tr>
      <w:tr w14:paraId="2048CC2E">
        <w:tblPrEx>
          <w:tblCellMar>
            <w:top w:w="0" w:type="dxa"/>
            <w:left w:w="108" w:type="dxa"/>
            <w:bottom w:w="0" w:type="dxa"/>
            <w:right w:w="108" w:type="dxa"/>
          </w:tblCellMar>
        </w:tblPrEx>
        <w:trPr>
          <w:jc w:val="center"/>
        </w:trPr>
        <w:tc>
          <w:tcPr>
            <w:tcW w:w="666"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306ED543">
            <w:pPr>
              <w:pStyle w:val="15"/>
              <w:rPr>
                <w:sz w:val="15"/>
                <w:szCs w:val="15"/>
                <w:lang w:eastAsia="zh-CN"/>
              </w:rPr>
            </w:pPr>
            <w:r>
              <w:rPr>
                <w:sz w:val="15"/>
                <w:szCs w:val="15"/>
              </w:rPr>
              <w:sym w:font="Symbol" w:char="F0B1"/>
            </w:r>
            <w:r>
              <w:rPr>
                <w:sz w:val="15"/>
                <w:szCs w:val="15"/>
                <w:lang w:eastAsia="zh-CN"/>
              </w:rPr>
              <w:t>6</w:t>
            </w:r>
          </w:p>
        </w:tc>
        <w:tc>
          <w:tcPr>
            <w:tcW w:w="1015"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26F83D63">
            <w:pPr>
              <w:pStyle w:val="15"/>
              <w:rPr>
                <w:sz w:val="15"/>
                <w:szCs w:val="15"/>
                <w:lang w:eastAsia="zh-CN"/>
              </w:rPr>
            </w:pPr>
            <w:r>
              <w:rPr>
                <w:sz w:val="15"/>
                <w:szCs w:val="15"/>
              </w:rPr>
              <w:sym w:font="Symbol" w:char="F0B1"/>
            </w:r>
            <w:r>
              <w:rPr>
                <w:sz w:val="15"/>
                <w:szCs w:val="15"/>
                <w:lang w:eastAsia="zh-CN"/>
              </w:rPr>
              <w:t>8.5</w:t>
            </w:r>
          </w:p>
        </w:tc>
        <w:tc>
          <w:tcPr>
            <w:tcW w:w="765"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1C57D4D6">
            <w:pPr>
              <w:pStyle w:val="15"/>
              <w:rPr>
                <w:sz w:val="15"/>
                <w:szCs w:val="15"/>
                <w:lang w:eastAsia="zh-CN"/>
              </w:rPr>
            </w:pPr>
            <w:r>
              <w:rPr>
                <w:sz w:val="15"/>
                <w:szCs w:val="15"/>
              </w:rPr>
              <w:sym w:font="Symbol" w:char="F0B1"/>
            </w:r>
            <w:r>
              <w:rPr>
                <w:sz w:val="15"/>
                <w:szCs w:val="15"/>
                <w:lang w:eastAsia="zh-CN"/>
              </w:rPr>
              <w:t>9</w:t>
            </w:r>
          </w:p>
        </w:tc>
        <w:tc>
          <w:tcPr>
            <w:tcW w:w="1015"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708CCF5C">
            <w:pPr>
              <w:pStyle w:val="15"/>
              <w:rPr>
                <w:sz w:val="15"/>
                <w:szCs w:val="15"/>
                <w:lang w:eastAsia="zh-CN"/>
              </w:rPr>
            </w:pPr>
            <w:r>
              <w:rPr>
                <w:sz w:val="15"/>
                <w:szCs w:val="15"/>
              </w:rPr>
              <w:sym w:font="Symbol" w:char="F0B1"/>
            </w:r>
            <w:r>
              <w:rPr>
                <w:sz w:val="15"/>
                <w:szCs w:val="15"/>
                <w:lang w:eastAsia="zh-CN"/>
              </w:rPr>
              <w:t>11.5</w:t>
            </w:r>
          </w:p>
        </w:tc>
        <w:tc>
          <w:tcPr>
            <w:tcW w:w="707"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64FBF069">
            <w:pPr>
              <w:pStyle w:val="15"/>
              <w:rPr>
                <w:sz w:val="15"/>
                <w:szCs w:val="15"/>
              </w:rPr>
            </w:pPr>
            <w:r>
              <w:rPr>
                <w:rFonts w:eastAsia="Yu Mincho" w:cs="Arial"/>
                <w:sz w:val="15"/>
                <w:szCs w:val="15"/>
                <w:lang w:eastAsia="ja-JP"/>
              </w:rPr>
              <w:t>≥1</w:t>
            </w:r>
          </w:p>
        </w:tc>
        <w:tc>
          <w:tcPr>
            <w:tcW w:w="1672"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3042CCE1">
            <w:pPr>
              <w:pStyle w:val="15"/>
              <w:rPr>
                <w:rFonts w:eastAsia="Yu Mincho"/>
                <w:sz w:val="15"/>
                <w:szCs w:val="15"/>
                <w:lang w:eastAsia="ja-JP"/>
              </w:rPr>
            </w:pPr>
            <w:r>
              <w:rPr>
                <w:sz w:val="15"/>
                <w:szCs w:val="15"/>
              </w:rPr>
              <w:t>Same value as SRS_RP in Table B.2.7-2, according to UE Power class, operating band and angle of arrival</w:t>
            </w:r>
          </w:p>
        </w:tc>
        <w:tc>
          <w:tcPr>
            <w:tcW w:w="144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0DBA9A53">
            <w:pPr>
              <w:pStyle w:val="15"/>
              <w:rPr>
                <w:sz w:val="15"/>
                <w:szCs w:val="15"/>
              </w:rPr>
            </w:pPr>
            <w:r>
              <w:rPr>
                <w:sz w:val="15"/>
                <w:szCs w:val="15"/>
                <w:lang w:eastAsia="zh-CN"/>
              </w:rPr>
              <w:t>N/A</w:t>
            </w:r>
          </w:p>
        </w:tc>
        <w:tc>
          <w:tcPr>
            <w:tcW w:w="144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4ABF19AD">
            <w:pPr>
              <w:pStyle w:val="15"/>
              <w:rPr>
                <w:sz w:val="15"/>
                <w:szCs w:val="15"/>
              </w:rPr>
            </w:pPr>
            <w:r>
              <w:rPr>
                <w:sz w:val="15"/>
                <w:szCs w:val="15"/>
              </w:rPr>
              <w:t>-70</w:t>
            </w:r>
          </w:p>
        </w:tc>
      </w:tr>
      <w:tr w14:paraId="19F7C335">
        <w:tblPrEx>
          <w:tblCellMar>
            <w:top w:w="0" w:type="dxa"/>
            <w:left w:w="108" w:type="dxa"/>
            <w:bottom w:w="0" w:type="dxa"/>
            <w:right w:w="108" w:type="dxa"/>
          </w:tblCellMar>
        </w:tblPrEx>
        <w:trPr>
          <w:jc w:val="center"/>
        </w:trPr>
        <w:tc>
          <w:tcPr>
            <w:tcW w:w="666"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14:paraId="23CDBB62">
            <w:pPr>
              <w:pStyle w:val="15"/>
              <w:rPr>
                <w:sz w:val="15"/>
                <w:szCs w:val="15"/>
                <w:lang w:eastAsia="zh-CN"/>
              </w:rPr>
            </w:pPr>
            <w:r>
              <w:rPr>
                <w:sz w:val="15"/>
                <w:szCs w:val="15"/>
              </w:rPr>
              <w:sym w:font="Symbol" w:char="F0B1"/>
            </w:r>
            <w:r>
              <w:rPr>
                <w:sz w:val="15"/>
                <w:szCs w:val="15"/>
                <w:lang w:eastAsia="zh-CN"/>
              </w:rPr>
              <w:t>9</w:t>
            </w:r>
          </w:p>
        </w:tc>
        <w:tc>
          <w:tcPr>
            <w:tcW w:w="101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14:paraId="269A5AB2">
            <w:pPr>
              <w:pStyle w:val="15"/>
              <w:rPr>
                <w:sz w:val="15"/>
                <w:szCs w:val="15"/>
                <w:lang w:eastAsia="zh-CN"/>
              </w:rPr>
            </w:pPr>
            <w:r>
              <w:rPr>
                <w:sz w:val="15"/>
                <w:szCs w:val="15"/>
              </w:rPr>
              <w:sym w:font="Symbol" w:char="F0B1"/>
            </w:r>
            <w:r>
              <w:rPr>
                <w:sz w:val="15"/>
                <w:szCs w:val="15"/>
                <w:lang w:eastAsia="zh-CN"/>
              </w:rPr>
              <w:t>11.5</w:t>
            </w:r>
          </w:p>
        </w:tc>
        <w:tc>
          <w:tcPr>
            <w:tcW w:w="76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14:paraId="0A962C12">
            <w:pPr>
              <w:pStyle w:val="15"/>
              <w:rPr>
                <w:sz w:val="15"/>
                <w:szCs w:val="15"/>
                <w:lang w:eastAsia="zh-CN"/>
              </w:rPr>
            </w:pPr>
            <w:r>
              <w:rPr>
                <w:sz w:val="15"/>
                <w:szCs w:val="15"/>
              </w:rPr>
              <w:sym w:font="Symbol" w:char="F0B1"/>
            </w:r>
            <w:r>
              <w:rPr>
                <w:sz w:val="15"/>
                <w:szCs w:val="15"/>
                <w:lang w:eastAsia="zh-CN"/>
              </w:rPr>
              <w:t>11</w:t>
            </w:r>
          </w:p>
        </w:tc>
        <w:tc>
          <w:tcPr>
            <w:tcW w:w="101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14:paraId="3E255401">
            <w:pPr>
              <w:pStyle w:val="15"/>
              <w:rPr>
                <w:sz w:val="15"/>
                <w:szCs w:val="15"/>
                <w:lang w:eastAsia="zh-CN"/>
              </w:rPr>
            </w:pPr>
            <w:r>
              <w:rPr>
                <w:sz w:val="15"/>
                <w:szCs w:val="15"/>
              </w:rPr>
              <w:sym w:font="Symbol" w:char="F0B1"/>
            </w:r>
            <w:r>
              <w:rPr>
                <w:sz w:val="15"/>
                <w:szCs w:val="15"/>
                <w:lang w:eastAsia="zh-CN"/>
              </w:rPr>
              <w:t>13.5</w:t>
            </w:r>
          </w:p>
        </w:tc>
        <w:tc>
          <w:tcPr>
            <w:tcW w:w="707"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39147D4F">
            <w:pPr>
              <w:pStyle w:val="15"/>
              <w:rPr>
                <w:sz w:val="15"/>
                <w:szCs w:val="15"/>
              </w:rPr>
            </w:pPr>
            <w:r>
              <w:rPr>
                <w:rFonts w:eastAsia="Yu Mincho" w:cs="Arial"/>
                <w:sz w:val="15"/>
                <w:szCs w:val="15"/>
                <w:lang w:eastAsia="ja-JP"/>
              </w:rPr>
              <w:t>≥1</w:t>
            </w:r>
          </w:p>
        </w:tc>
        <w:tc>
          <w:tcPr>
            <w:tcW w:w="1672"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14:paraId="62181C75">
            <w:pPr>
              <w:pStyle w:val="15"/>
              <w:rPr>
                <w:sz w:val="15"/>
                <w:szCs w:val="15"/>
              </w:rPr>
            </w:pPr>
            <w:r>
              <w:rPr>
                <w:sz w:val="15"/>
                <w:szCs w:val="15"/>
              </w:rPr>
              <w:t>N/A</w:t>
            </w:r>
          </w:p>
        </w:tc>
        <w:tc>
          <w:tcPr>
            <w:tcW w:w="144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14:paraId="5208AFC3">
            <w:pPr>
              <w:pStyle w:val="15"/>
              <w:rPr>
                <w:sz w:val="15"/>
                <w:szCs w:val="15"/>
              </w:rPr>
            </w:pPr>
            <w:r>
              <w:rPr>
                <w:sz w:val="15"/>
                <w:szCs w:val="15"/>
              </w:rPr>
              <w:t>-70</w:t>
            </w:r>
          </w:p>
        </w:tc>
        <w:tc>
          <w:tcPr>
            <w:tcW w:w="144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14:paraId="324B9DF6">
            <w:pPr>
              <w:pStyle w:val="15"/>
              <w:rPr>
                <w:sz w:val="15"/>
                <w:szCs w:val="15"/>
              </w:rPr>
            </w:pPr>
            <w:r>
              <w:rPr>
                <w:sz w:val="15"/>
                <w:szCs w:val="15"/>
              </w:rPr>
              <w:t>-50</w:t>
            </w:r>
          </w:p>
        </w:tc>
      </w:tr>
      <w:tr w14:paraId="242F33BB">
        <w:tblPrEx>
          <w:tblCellMar>
            <w:top w:w="0" w:type="dxa"/>
            <w:left w:w="108" w:type="dxa"/>
            <w:bottom w:w="0" w:type="dxa"/>
            <w:right w:w="108" w:type="dxa"/>
          </w:tblCellMar>
        </w:tblPrEx>
        <w:trPr>
          <w:jc w:val="center"/>
        </w:trPr>
        <w:tc>
          <w:tcPr>
            <w:tcW w:w="8720" w:type="dxa"/>
            <w:gridSpan w:val="9"/>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14:paraId="51087DC1">
            <w:pPr>
              <w:pStyle w:val="17"/>
              <w:rPr>
                <w:sz w:val="15"/>
                <w:szCs w:val="15"/>
              </w:rPr>
            </w:pPr>
            <w:r>
              <w:rPr>
                <w:sz w:val="15"/>
                <w:szCs w:val="15"/>
              </w:rPr>
              <w:t>NOTE 1:</w:t>
            </w:r>
            <w:r>
              <w:rPr>
                <w:sz w:val="15"/>
                <w:szCs w:val="15"/>
              </w:rPr>
              <w:tab/>
            </w:r>
            <w:r>
              <w:rPr>
                <w:sz w:val="15"/>
                <w:szCs w:val="15"/>
              </w:rPr>
              <w:t xml:space="preserve">Io </w:t>
            </w:r>
            <w:r>
              <w:rPr>
                <w:rFonts w:eastAsia="MS Mincho"/>
                <w:sz w:val="15"/>
                <w:szCs w:val="15"/>
              </w:rPr>
              <w:t>specified at the Reference point, and</w:t>
            </w:r>
            <w:r>
              <w:rPr>
                <w:sz w:val="15"/>
                <w:szCs w:val="15"/>
              </w:rPr>
              <w:t xml:space="preserve"> assumed to have constant EPRE across the bandwidth.</w:t>
            </w:r>
          </w:p>
          <w:p w14:paraId="4DCD231D">
            <w:pPr>
              <w:pStyle w:val="17"/>
              <w:rPr>
                <w:sz w:val="15"/>
                <w:szCs w:val="15"/>
              </w:rPr>
            </w:pPr>
            <w:r>
              <w:rPr>
                <w:sz w:val="15"/>
                <w:szCs w:val="15"/>
              </w:rPr>
              <w:t>NOTE 2:</w:t>
            </w:r>
            <w:r>
              <w:rPr>
                <w:sz w:val="15"/>
                <w:szCs w:val="15"/>
              </w:rPr>
              <w:tab/>
            </w:r>
            <w:r>
              <w:rPr>
                <w:sz w:val="15"/>
                <w:szCs w:val="15"/>
              </w:rPr>
              <w:t>Values based on Refsens and EIS spherical coverage as defined in clauses 7.3.2 and 7.3.4 of TS 38.101-2 [19]. Applicable side condition selected depending on angle of arrival.</w:t>
            </w:r>
          </w:p>
          <w:p w14:paraId="51C8ECBF">
            <w:pPr>
              <w:pStyle w:val="17"/>
              <w:rPr>
                <w:sz w:val="15"/>
                <w:szCs w:val="15"/>
              </w:rPr>
            </w:pPr>
            <w:r>
              <w:rPr>
                <w:sz w:val="15"/>
                <w:szCs w:val="15"/>
              </w:rPr>
              <w:t>NOTE 3:</w:t>
            </w:r>
            <w:r>
              <w:rPr>
                <w:sz w:val="15"/>
                <w:szCs w:val="15"/>
              </w:rPr>
              <w:tab/>
            </w:r>
            <w:r>
              <w:rPr>
                <w:sz w:val="15"/>
                <w:szCs w:val="15"/>
              </w:rPr>
              <w:t xml:space="preserve">In the test cases, the SSB </w:t>
            </w:r>
            <w:r>
              <w:rPr>
                <w:rFonts w:hint="eastAsia"/>
                <w:sz w:val="15"/>
                <w:szCs w:val="15"/>
              </w:rPr>
              <w:t>Ê</w:t>
            </w:r>
            <w:r>
              <w:rPr>
                <w:sz w:val="15"/>
                <w:szCs w:val="15"/>
              </w:rPr>
              <w:t xml:space="preserve">s/Iot and related parameters may need to be adjusted to ensure </w:t>
            </w:r>
            <w:r>
              <w:rPr>
                <w:rFonts w:hint="eastAsia"/>
                <w:sz w:val="15"/>
                <w:szCs w:val="15"/>
              </w:rPr>
              <w:t>Ê</w:t>
            </w:r>
            <w:r>
              <w:rPr>
                <w:sz w:val="15"/>
                <w:szCs w:val="15"/>
              </w:rPr>
              <w:t>s/Iot at UE baseband is above the value defined in this table.</w:t>
            </w:r>
          </w:p>
        </w:tc>
      </w:tr>
    </w:tbl>
    <w:p w14:paraId="52CE425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0B811DA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color w:val="000000"/>
          <w:sz w:val="20"/>
          <w:szCs w:val="20"/>
          <w:lang w:val="en-US" w:eastAsia="zh-CN"/>
        </w:rPr>
        <w:t xml:space="preserve">Compare existing L3-SRS-RSRP measurement accuracy requirements and Table 1 of simulation results summary for L1-SRS-RSRP, it can be seen that, the </w:t>
      </w:r>
      <w:r>
        <w:rPr>
          <w:rFonts w:hint="eastAsia" w:ascii="Times New Roman" w:hAnsi="Times New Roman"/>
          <w:sz w:val="20"/>
          <w:szCs w:val="20"/>
          <w:lang w:val="en-US" w:eastAsia="zh-CN"/>
        </w:rPr>
        <w:t xml:space="preserve">L1-SRS-RSRP measurement performance with 1 sample can be covered by existing L3-SRS-RSRP measurement requirements. For example, according to above Table 10.1.22.1.1-2, the L3-SRS-RSRP absolute accuracy for SCS of 120KHz with 48 PRBs is +-9dB, while according to Table 1 of L1-SRS-RSRP simulation results summary, for SCS of 120KHz, SRS BW of 48PRB, and 1 sample, the worst measurement performance of L1-SRS-RSRP among companies is 6.8dB, even consider RF margin additionally, existing L3-SRS-RSRP measurement accuracy can also be applied to  L1-SRS-RSRP. In summary, for the case with </w:t>
      </w:r>
      <w:r>
        <w:rPr>
          <w:rFonts w:hint="eastAsia" w:ascii="Times New Roman" w:hAnsi="Times New Roman" w:eastAsia="微软雅黑" w:cs="Times New Roman"/>
          <w:sz w:val="20"/>
          <w:szCs w:val="20"/>
          <w:lang w:val="en-US" w:eastAsia="zh-CN"/>
        </w:rPr>
        <w:t xml:space="preserve">cell phase error, under the condition of same number of SRS BW and same side condition, </w:t>
      </w:r>
      <w:r>
        <w:rPr>
          <w:rFonts w:hint="eastAsia" w:ascii="Times New Roman" w:hAnsi="Times New Roman"/>
          <w:sz w:val="20"/>
          <w:szCs w:val="20"/>
          <w:lang w:val="en-US" w:eastAsia="zh-CN"/>
        </w:rPr>
        <w:t xml:space="preserve">L1-SRS-RSRP measurement accuracy with 1 sample can be covered by L3-SRS-RSRP measurement accuracy with 3 samples. </w:t>
      </w:r>
    </w:p>
    <w:p w14:paraId="7B1CFEA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Observation 2: for L1-SRS-RSRP, the measurement performance with 1 sample and case 1 (with </w:t>
      </w:r>
      <w:r>
        <w:rPr>
          <w:rFonts w:hint="eastAsia" w:ascii="Times New Roman" w:hAnsi="Times New Roman" w:eastAsia="微软雅黑" w:cs="Times New Roman"/>
          <w:b/>
          <w:bCs/>
          <w:i/>
          <w:iCs/>
          <w:sz w:val="20"/>
          <w:szCs w:val="20"/>
          <w:lang w:val="en-US" w:eastAsia="zh-CN"/>
        </w:rPr>
        <w:t>cell phase error</w:t>
      </w:r>
      <w:r>
        <w:rPr>
          <w:rFonts w:hint="eastAsia" w:ascii="Times New Roman" w:hAnsi="Times New Roman"/>
          <w:b/>
          <w:bCs/>
          <w:i/>
          <w:iCs/>
          <w:sz w:val="20"/>
          <w:szCs w:val="20"/>
          <w:lang w:val="en-US" w:eastAsia="zh-CN"/>
        </w:rPr>
        <w:t>) can be covered by existing L3-SRS-RSRP measurement accuracy requirements with 3 samples.</w:t>
      </w:r>
    </w:p>
    <w:p w14:paraId="0E06CD4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olor w:val="000000"/>
          <w:sz w:val="20"/>
          <w:szCs w:val="20"/>
          <w:lang w:val="en-US" w:eastAsia="zh-CN"/>
        </w:rPr>
      </w:pPr>
      <w:r>
        <w:rPr>
          <w:rFonts w:hint="eastAsia" w:ascii="Times New Roman" w:hAnsi="Times New Roman"/>
          <w:sz w:val="20"/>
          <w:szCs w:val="20"/>
          <w:lang w:val="en-US" w:eastAsia="zh-CN"/>
        </w:rPr>
        <w:t xml:space="preserve">Based on above consideration, it is proposed to define one set requirements to cover both </w:t>
      </w:r>
      <w:r>
        <w:rPr>
          <w:rFonts w:hint="eastAsia" w:ascii="Times New Roman" w:hAnsi="Times New Roman" w:eastAsia="微软雅黑" w:cs="Times New Roman"/>
          <w:sz w:val="20"/>
          <w:szCs w:val="20"/>
          <w:lang w:val="en-US" w:eastAsia="zh-CN"/>
        </w:rPr>
        <w:t>i</w:t>
      </w:r>
      <w:r>
        <w:rPr>
          <w:rFonts w:ascii="Times New Roman" w:hAnsi="Times New Roman" w:eastAsia="Times New Roman"/>
          <w:color w:val="000000"/>
          <w:sz w:val="20"/>
          <w:szCs w:val="20"/>
          <w:lang w:eastAsia="en-GB"/>
        </w:rPr>
        <w:t>ntr</w:t>
      </w:r>
      <w:r>
        <w:rPr>
          <w:rFonts w:hint="eastAsia" w:ascii="Times New Roman" w:hAnsi="Times New Roman"/>
          <w:color w:val="000000"/>
          <w:sz w:val="20"/>
          <w:szCs w:val="20"/>
          <w:lang w:val="en-US" w:eastAsia="zh-CN"/>
        </w:rPr>
        <w:t>a</w:t>
      </w:r>
      <w:r>
        <w:rPr>
          <w:rFonts w:ascii="Times New Roman" w:hAnsi="Times New Roman" w:eastAsia="Times New Roman"/>
          <w:color w:val="000000"/>
          <w:sz w:val="20"/>
          <w:szCs w:val="20"/>
          <w:lang w:eastAsia="en-GB"/>
        </w:rPr>
        <w:t xml:space="preserve">-cell </w:t>
      </w:r>
      <w:r>
        <w:rPr>
          <w:rFonts w:hint="eastAsia" w:ascii="Times New Roman" w:hAnsi="Times New Roman"/>
          <w:color w:val="000000"/>
          <w:sz w:val="20"/>
          <w:szCs w:val="20"/>
          <w:lang w:val="en-US" w:eastAsia="zh-CN"/>
        </w:rPr>
        <w:t xml:space="preserve">scenario and </w:t>
      </w:r>
      <w:r>
        <w:rPr>
          <w:rFonts w:hint="eastAsia" w:ascii="Times New Roman" w:hAnsi="Times New Roman" w:eastAsia="微软雅黑" w:cs="Times New Roman"/>
          <w:sz w:val="20"/>
          <w:szCs w:val="20"/>
          <w:lang w:val="en-US" w:eastAsia="zh-CN"/>
        </w:rPr>
        <w:t>i</w:t>
      </w:r>
      <w:r>
        <w:rPr>
          <w:rFonts w:ascii="Times New Roman" w:hAnsi="Times New Roman" w:eastAsia="Times New Roman"/>
          <w:color w:val="000000"/>
          <w:sz w:val="20"/>
          <w:szCs w:val="20"/>
          <w:lang w:eastAsia="en-GB"/>
        </w:rPr>
        <w:t xml:space="preserve">nter-cell </w:t>
      </w:r>
      <w:r>
        <w:rPr>
          <w:rFonts w:hint="eastAsia" w:ascii="Times New Roman" w:hAnsi="Times New Roman"/>
          <w:color w:val="000000"/>
          <w:sz w:val="20"/>
          <w:szCs w:val="20"/>
          <w:lang w:val="en-US" w:eastAsia="zh-CN"/>
        </w:rPr>
        <w:t>scenario, and exsiting L3-SRS-RSRP accuracy requirements can be applied to L1-SRS-RSRP.</w:t>
      </w:r>
    </w:p>
    <w:p w14:paraId="1DE726B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6: It is proposed to define one set requirements to cover both the case with cell phase error (</w:t>
      </w:r>
      <w:r>
        <w:rPr>
          <w:rFonts w:hint="eastAsia" w:ascii="Times New Roman" w:hAnsi="Times New Roman" w:eastAsia="微软雅黑" w:cs="Times New Roman"/>
          <w:b/>
          <w:bCs/>
          <w:i/>
          <w:iCs/>
          <w:sz w:val="20"/>
          <w:szCs w:val="20"/>
          <w:lang w:val="en-US" w:eastAsia="zh-CN"/>
        </w:rPr>
        <w:t>i</w:t>
      </w:r>
      <w:r>
        <w:rPr>
          <w:rFonts w:ascii="Times New Roman" w:hAnsi="Times New Roman" w:eastAsia="Times New Roman"/>
          <w:b/>
          <w:bCs/>
          <w:i/>
          <w:iCs/>
          <w:color w:val="000000"/>
          <w:sz w:val="20"/>
          <w:szCs w:val="20"/>
          <w:lang w:eastAsia="en-GB"/>
        </w:rPr>
        <w:t>ntr</w:t>
      </w:r>
      <w:r>
        <w:rPr>
          <w:rFonts w:hint="eastAsia" w:ascii="Times New Roman" w:hAnsi="Times New Roman"/>
          <w:b/>
          <w:bCs/>
          <w:i/>
          <w:iCs/>
          <w:color w:val="000000"/>
          <w:sz w:val="20"/>
          <w:szCs w:val="20"/>
          <w:lang w:val="en-US" w:eastAsia="zh-CN"/>
        </w:rPr>
        <w:t>a</w:t>
      </w:r>
      <w:r>
        <w:rPr>
          <w:rFonts w:ascii="Times New Roman" w:hAnsi="Times New Roman" w:eastAsia="Times New Roman"/>
          <w:b/>
          <w:bCs/>
          <w:i/>
          <w:iCs/>
          <w:color w:val="000000"/>
          <w:sz w:val="20"/>
          <w:szCs w:val="20"/>
          <w:lang w:eastAsia="en-GB"/>
        </w:rPr>
        <w:t xml:space="preserve">-cell </w:t>
      </w:r>
      <w:r>
        <w:rPr>
          <w:rFonts w:hint="eastAsia" w:ascii="Times New Roman" w:hAnsi="Times New Roman"/>
          <w:b/>
          <w:bCs/>
          <w:i/>
          <w:iCs/>
          <w:color w:val="000000"/>
          <w:sz w:val="20"/>
          <w:szCs w:val="20"/>
          <w:lang w:val="en-US" w:eastAsia="zh-CN"/>
        </w:rPr>
        <w:t>scenario) and the case without cell phase error (</w:t>
      </w:r>
      <w:r>
        <w:rPr>
          <w:rFonts w:hint="eastAsia" w:ascii="Times New Roman" w:hAnsi="Times New Roman" w:eastAsia="微软雅黑" w:cs="Times New Roman"/>
          <w:b/>
          <w:bCs/>
          <w:i/>
          <w:iCs/>
          <w:sz w:val="20"/>
          <w:szCs w:val="20"/>
          <w:lang w:val="en-US" w:eastAsia="zh-CN"/>
        </w:rPr>
        <w:t>i</w:t>
      </w:r>
      <w:r>
        <w:rPr>
          <w:rFonts w:ascii="Times New Roman" w:hAnsi="Times New Roman" w:eastAsia="Times New Roman"/>
          <w:b/>
          <w:bCs/>
          <w:i/>
          <w:iCs/>
          <w:color w:val="000000"/>
          <w:sz w:val="20"/>
          <w:szCs w:val="20"/>
          <w:lang w:eastAsia="en-GB"/>
        </w:rPr>
        <w:t xml:space="preserve">nter-cell </w:t>
      </w:r>
      <w:r>
        <w:rPr>
          <w:rFonts w:hint="eastAsia" w:ascii="Times New Roman" w:hAnsi="Times New Roman"/>
          <w:b/>
          <w:bCs/>
          <w:i/>
          <w:iCs/>
          <w:color w:val="000000"/>
          <w:sz w:val="20"/>
          <w:szCs w:val="20"/>
          <w:lang w:val="en-US" w:eastAsia="zh-CN"/>
        </w:rPr>
        <w:t>scenario). And exsiting L3-SRS-RSRP accuracy requirements can be applied to L1-SRS-RSRP.</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4CF8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FFB605E">
            <w:pPr>
              <w:keepNext/>
              <w:keepLines/>
              <w:spacing w:before="120"/>
              <w:outlineLvl w:val="3"/>
              <w:rPr>
                <w:rFonts w:hint="default" w:ascii="Times New Roman" w:hAnsi="Times New Roman" w:cs="Times New Roman"/>
                <w:sz w:val="20"/>
                <w:szCs w:val="20"/>
                <w:highlight w:val="none"/>
                <w:lang w:val="sv-SE" w:eastAsia="zh-CN"/>
              </w:rPr>
            </w:pPr>
            <w:r>
              <w:rPr>
                <w:rFonts w:hint="default" w:ascii="Times New Roman" w:hAnsi="Times New Roman" w:cs="Times New Roman"/>
                <w:sz w:val="20"/>
                <w:szCs w:val="20"/>
                <w:highlight w:val="none"/>
                <w:lang w:val="sv-SE" w:eastAsia="zh-CN"/>
              </w:rPr>
              <w:t xml:space="preserve">Issue 1-1-6: Measurement period </w:t>
            </w:r>
          </w:p>
          <w:p w14:paraId="340A39D3">
            <w:pPr>
              <w:numPr>
                <w:ilvl w:val="0"/>
                <w:numId w:val="4"/>
              </w:numPr>
              <w:spacing w:after="120"/>
              <w:ind w:left="720"/>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Agreements (from Wed AH session)</w:t>
            </w:r>
          </w:p>
          <w:p w14:paraId="06CD09E5">
            <w:pPr>
              <w:numPr>
                <w:ilvl w:val="1"/>
                <w:numId w:val="4"/>
              </w:numPr>
              <w:spacing w:after="120"/>
              <w:ind w:left="1440"/>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For L1-SRS-RSRP, further discuss the following options based on simulation results:</w:t>
            </w:r>
          </w:p>
          <w:p w14:paraId="03014A32">
            <w:pPr>
              <w:numPr>
                <w:ilvl w:val="2"/>
                <w:numId w:val="4"/>
              </w:numPr>
              <w:spacing w:after="120"/>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 xml:space="preserve">Option 1: requirement specified with [1] sample measurement assumption </w:t>
            </w:r>
          </w:p>
          <w:p w14:paraId="638815E3">
            <w:pPr>
              <w:numPr>
                <w:ilvl w:val="2"/>
                <w:numId w:val="4"/>
              </w:numPr>
              <w:spacing w:after="120"/>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Option 2: requirement specified based on [1] and [3] samples according to NW configuration, e.g. timeRestrictionForChannelMeasurement</w:t>
            </w:r>
          </w:p>
          <w:p w14:paraId="76BC885F">
            <w:pPr>
              <w:numPr>
                <w:ilvl w:val="1"/>
                <w:numId w:val="4"/>
              </w:numPr>
              <w:spacing w:after="120"/>
              <w:ind w:left="1440"/>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 xml:space="preserve">For L1-CLI-RSSI, </w:t>
            </w:r>
          </w:p>
          <w:p w14:paraId="39C88C5D">
            <w:pPr>
              <w:numPr>
                <w:ilvl w:val="2"/>
                <w:numId w:val="4"/>
              </w:numPr>
              <w:spacing w:after="120"/>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 xml:space="preserve">Confirm measurement period requirements are defined based on 1 sample, and </w:t>
            </w:r>
          </w:p>
          <w:p w14:paraId="76F8E5FC">
            <w:pPr>
              <w:numPr>
                <w:ilvl w:val="2"/>
                <w:numId w:val="4"/>
              </w:numPr>
              <w:spacing w:after="120"/>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lang w:eastAsia="zh-CN"/>
              </w:rPr>
              <w:t>Clarify in the requirements that the measurement is based on DL timing.</w:t>
            </w:r>
          </w:p>
        </w:tc>
      </w:tr>
    </w:tbl>
    <w:p w14:paraId="43C8AB4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3C486FC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lang w:val="en-US" w:eastAsia="zh-CN"/>
        </w:rPr>
      </w:pPr>
      <w:r>
        <w:rPr>
          <w:rFonts w:hint="eastAsia" w:ascii="Times New Roman" w:hAnsi="Times New Roman"/>
          <w:sz w:val="20"/>
          <w:szCs w:val="20"/>
          <w:lang w:val="en-US" w:eastAsia="zh-CN"/>
        </w:rPr>
        <w:t>For measurement period, according to existing L1-RSRP measurement, both 1 sample and 3 sample are considered pending on the</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 xml:space="preserve">higher layer parameter </w:t>
      </w:r>
      <w:r>
        <w:rPr>
          <w:rFonts w:hint="default" w:ascii="Times New Roman" w:hAnsi="Times New Roman" w:cs="Times New Roman"/>
          <w:i/>
          <w:sz w:val="20"/>
          <w:szCs w:val="20"/>
        </w:rPr>
        <w:t>timeRestrictionForChannelMeasurement</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 xml:space="preserve">The sample number is 1 if </w:t>
      </w:r>
      <w:r>
        <w:rPr>
          <w:rFonts w:hint="default" w:ascii="Times New Roman" w:hAnsi="Times New Roman" w:cs="Times New Roman"/>
          <w:i/>
          <w:sz w:val="20"/>
          <w:szCs w:val="20"/>
        </w:rPr>
        <w:t>timeRestrictionForChannelMeasurement</w:t>
      </w:r>
      <w:r>
        <w:rPr>
          <w:rFonts w:hint="default" w:ascii="Times New Roman" w:hAnsi="Times New Roman" w:cs="Times New Roman"/>
          <w:sz w:val="20"/>
          <w:szCs w:val="20"/>
        </w:rPr>
        <w:t xml:space="preserve"> is configured, and </w:t>
      </w:r>
      <w:r>
        <w:rPr>
          <w:rFonts w:hint="default" w:ascii="Times New Roman" w:hAnsi="Times New Roman" w:cs="Times New Roman"/>
          <w:sz w:val="20"/>
          <w:szCs w:val="20"/>
          <w:lang w:val="en-US" w:eastAsia="zh-CN"/>
        </w:rPr>
        <w:t xml:space="preserve">the sample number is </w:t>
      </w:r>
      <w:r>
        <w:rPr>
          <w:rFonts w:hint="default" w:ascii="Times New Roman" w:hAnsi="Times New Roman" w:cs="Times New Roman"/>
          <w:sz w:val="20"/>
          <w:szCs w:val="20"/>
        </w:rPr>
        <w:t>3 otherwise</w:t>
      </w:r>
      <w:r>
        <w:rPr>
          <w:rFonts w:hint="default"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zh-CN"/>
        </w:rPr>
        <w:t xml:space="preserve">Same approach can be used for L1-SRS-RSRP measurement. </w:t>
      </w:r>
    </w:p>
    <w:p w14:paraId="33049BC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7: for </w:t>
      </w:r>
      <w:r>
        <w:rPr>
          <w:rFonts w:hint="default" w:ascii="Times New Roman" w:hAnsi="Times New Roman" w:cs="Times New Roman"/>
          <w:b/>
          <w:bCs/>
          <w:i/>
          <w:iCs/>
          <w:sz w:val="20"/>
          <w:szCs w:val="20"/>
          <w:highlight w:val="none"/>
          <w:lang w:eastAsia="zh-CN"/>
        </w:rPr>
        <w:t xml:space="preserve">L1-SRS-RSRP, </w:t>
      </w:r>
      <w:r>
        <w:rPr>
          <w:rFonts w:hint="eastAsia" w:ascii="Times New Roman" w:hAnsi="Times New Roman" w:cs="Times New Roman"/>
          <w:b/>
          <w:bCs/>
          <w:i/>
          <w:iCs/>
          <w:sz w:val="20"/>
          <w:szCs w:val="20"/>
          <w:highlight w:val="none"/>
          <w:lang w:val="en-US" w:eastAsia="zh-CN"/>
        </w:rPr>
        <w:t xml:space="preserve">measurement period is specified based on 1 and 3 samples pending on NW configuration, e.g.  </w:t>
      </w:r>
      <w:r>
        <w:rPr>
          <w:rFonts w:hint="default" w:ascii="Times New Roman" w:hAnsi="Times New Roman" w:cs="Times New Roman"/>
          <w:b/>
          <w:bCs/>
          <w:i/>
          <w:iCs/>
          <w:sz w:val="20"/>
          <w:szCs w:val="20"/>
        </w:rPr>
        <w:t>timeRestrictionForChannelMeasurement</w:t>
      </w:r>
      <w:r>
        <w:rPr>
          <w:rFonts w:hint="eastAsia" w:ascii="Times New Roman" w:hAnsi="Times New Roman" w:cs="Times New Roman"/>
          <w:b/>
          <w:bCs/>
          <w:i/>
          <w:iCs/>
          <w:sz w:val="20"/>
          <w:szCs w:val="20"/>
          <w:lang w:val="en-US" w:eastAsia="zh-CN"/>
        </w:rPr>
        <w:t>.</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4FBE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07FC0C1">
            <w:pPr>
              <w:pStyle w:val="5"/>
              <w:tabs>
                <w:tab w:val="left" w:pos="432"/>
                <w:tab w:val="clear" w:pos="864"/>
              </w:tabs>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Issue 1-1-7: Measurement reporting  </w:t>
            </w:r>
          </w:p>
          <w:p w14:paraId="12184312">
            <w:pPr>
              <w:pStyle w:val="11"/>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Proposals </w:t>
            </w:r>
          </w:p>
          <w:p w14:paraId="1C6D9059">
            <w:pPr>
              <w:pStyle w:val="11"/>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Proposal 1 (CATT, Nokia, CTC, vivo, HW, ZTE, E///, MTK): </w:t>
            </w:r>
          </w:p>
          <w:p w14:paraId="3A7B04A2">
            <w:pPr>
              <w:pStyle w:val="11"/>
              <w:numPr>
                <w:ilvl w:val="2"/>
                <w:numId w:val="4"/>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At least L1-RSRP measurement reporting requirement for aperiodic reporting can be reused for the L1 based CLI measurement reporting.</w:t>
            </w:r>
          </w:p>
          <w:p w14:paraId="52EC971B">
            <w:pPr>
              <w:pStyle w:val="11"/>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Proposal 2 (LGE, CMCC, vivo, HW, ZTE, MTK, Samsung): </w:t>
            </w:r>
          </w:p>
          <w:p w14:paraId="138ED3E9">
            <w:pPr>
              <w:pStyle w:val="11"/>
              <w:numPr>
                <w:ilvl w:val="2"/>
                <w:numId w:val="4"/>
              </w:numPr>
              <w:spacing w:after="120"/>
              <w:ind w:firstLineChars="0"/>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lang w:eastAsia="ko-KR"/>
              </w:rPr>
              <w:t xml:space="preserve">Focus on </w:t>
            </w:r>
            <w:r>
              <w:rPr>
                <w:rFonts w:hint="default" w:ascii="Times New Roman" w:hAnsi="Times New Roman" w:eastAsia="宋体" w:cs="Times New Roman"/>
                <w:color w:val="auto"/>
                <w:sz w:val="20"/>
                <w:szCs w:val="20"/>
                <w:lang w:eastAsia="zh-CN"/>
              </w:rPr>
              <w:t xml:space="preserve">aperiodic </w:t>
            </w:r>
            <w:r>
              <w:rPr>
                <w:rFonts w:hint="default" w:ascii="Times New Roman" w:hAnsi="Times New Roman" w:cs="Times New Roman" w:eastAsiaTheme="minorEastAsia"/>
                <w:color w:val="auto"/>
                <w:sz w:val="20"/>
                <w:szCs w:val="20"/>
                <w:lang w:eastAsia="ko-KR"/>
              </w:rPr>
              <w:t xml:space="preserve">reporting </w:t>
            </w:r>
            <w:r>
              <w:rPr>
                <w:rFonts w:hint="default" w:ascii="Times New Roman" w:hAnsi="Times New Roman" w:eastAsia="宋体" w:cs="Times New Roman"/>
                <w:color w:val="auto"/>
                <w:sz w:val="20"/>
                <w:szCs w:val="20"/>
                <w:lang w:eastAsia="zh-CN"/>
              </w:rPr>
              <w:t>mode for Rel-19 CLI measurement,</w:t>
            </w:r>
            <w:r>
              <w:rPr>
                <w:rFonts w:hint="default" w:ascii="Times New Roman" w:hAnsi="Times New Roman" w:cs="Times New Roman" w:eastAsiaTheme="minorEastAsia"/>
                <w:color w:val="auto"/>
                <w:sz w:val="20"/>
                <w:szCs w:val="20"/>
                <w:lang w:eastAsia="ko-KR"/>
              </w:rPr>
              <w:t xml:space="preserve"> </w:t>
            </w:r>
            <w:r>
              <w:rPr>
                <w:rFonts w:hint="default" w:ascii="Times New Roman" w:hAnsi="Times New Roman" w:eastAsia="宋体" w:cs="Times New Roman"/>
                <w:color w:val="auto"/>
                <w:sz w:val="20"/>
                <w:szCs w:val="20"/>
                <w:lang w:eastAsia="zh-CN"/>
              </w:rPr>
              <w:t>for other reporting modes hold on the discussion pending on further progress in RAN1</w:t>
            </w:r>
            <w:r>
              <w:rPr>
                <w:rFonts w:hint="default" w:ascii="Times New Roman" w:hAnsi="Times New Roman" w:cs="Times New Roman" w:eastAsiaTheme="minorEastAsia"/>
                <w:color w:val="auto"/>
                <w:sz w:val="20"/>
                <w:szCs w:val="20"/>
                <w:lang w:eastAsia="ko-KR"/>
              </w:rPr>
              <w:t>.</w:t>
            </w:r>
          </w:p>
        </w:tc>
      </w:tr>
    </w:tbl>
    <w:p w14:paraId="3D03003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lang w:val="en-US" w:eastAsia="zh-CN"/>
        </w:rPr>
      </w:pPr>
    </w:p>
    <w:p w14:paraId="564CE47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As duplicated as following, RAN1 discussion mainly focus on aperiodic reporting. RAN4 discussion can focus on aperiodic reporting, and other reporting modes can be further discussed pending on RAN1 propgress.</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41CB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3C94ECC7">
            <w:pPr>
              <w:rPr>
                <w:rFonts w:hint="default" w:ascii="Times New Roman" w:hAnsi="Times New Roman" w:cs="Times New Roman"/>
                <w:b/>
                <w:bCs/>
                <w:sz w:val="20"/>
                <w:szCs w:val="20"/>
                <w:highlight w:val="green"/>
                <w:lang w:val="en-US" w:eastAsia="zh-CN"/>
              </w:rPr>
            </w:pPr>
            <w:r>
              <w:rPr>
                <w:rFonts w:hint="default" w:ascii="Times New Roman" w:hAnsi="Times New Roman" w:cs="Times New Roman"/>
                <w:b/>
                <w:bCs/>
                <w:sz w:val="20"/>
                <w:szCs w:val="20"/>
                <w:highlight w:val="green"/>
                <w:lang w:val="en-US"/>
              </w:rPr>
              <w:t>Agreement</w:t>
            </w:r>
            <w:r>
              <w:rPr>
                <w:rFonts w:hint="default" w:ascii="Times New Roman" w:hAnsi="Times New Roman" w:cs="Times New Roman"/>
                <w:b/>
                <w:bCs/>
                <w:sz w:val="20"/>
                <w:szCs w:val="20"/>
                <w:highlight w:val="green"/>
                <w:lang w:val="en-US" w:eastAsia="zh-CN"/>
              </w:rPr>
              <w:t>s in RAN1#118bis</w:t>
            </w:r>
          </w:p>
          <w:p w14:paraId="7A552F2A">
            <w:pPr>
              <w:rPr>
                <w:rFonts w:hint="default" w:ascii="Times New Roman" w:hAnsi="Times New Roman" w:cs="Times New Roman"/>
                <w:b/>
                <w:bCs/>
                <w:sz w:val="20"/>
                <w:szCs w:val="20"/>
                <w:highlight w:val="green"/>
                <w:lang w:val="en-US" w:eastAsia="zh-CN"/>
              </w:rPr>
            </w:pPr>
          </w:p>
          <w:p w14:paraId="3CC6E9F3">
            <w:pPr>
              <w:rPr>
                <w:rFonts w:hint="default" w:ascii="Times New Roman" w:hAnsi="Times New Roman" w:cs="Times New Roman"/>
                <w:iCs/>
                <w:sz w:val="20"/>
                <w:szCs w:val="20"/>
              </w:rPr>
            </w:pPr>
            <w:r>
              <w:rPr>
                <w:rFonts w:hint="default" w:ascii="Times New Roman" w:hAnsi="Times New Roman" w:cs="Times New Roman"/>
                <w:iCs/>
                <w:sz w:val="20"/>
                <w:szCs w:val="20"/>
              </w:rPr>
              <w:t xml:space="preserve">Extend </w:t>
            </w:r>
            <w:r>
              <w:rPr>
                <w:rFonts w:hint="default" w:ascii="Times New Roman" w:hAnsi="Times New Roman" w:cs="Times New Roman"/>
                <w:i/>
                <w:iCs/>
                <w:color w:val="000000"/>
                <w:sz w:val="20"/>
                <w:szCs w:val="20"/>
              </w:rPr>
              <w:t>CSI-ResourceConfig</w:t>
            </w:r>
            <w:r>
              <w:rPr>
                <w:rFonts w:hint="default" w:ascii="Times New Roman" w:hAnsi="Times New Roman" w:cs="Times New Roman"/>
                <w:iCs/>
                <w:sz w:val="20"/>
                <w:szCs w:val="20"/>
              </w:rPr>
              <w:t xml:space="preserve"> to include two CLI measurement resource set lists for SRS-RSRP and CLI-RSSI measurements </w:t>
            </w:r>
            <w:r>
              <w:rPr>
                <w:rFonts w:hint="default" w:ascii="Times New Roman" w:hAnsi="Times New Roman" w:eastAsia="等线" w:cs="Times New Roman"/>
                <w:sz w:val="20"/>
                <w:szCs w:val="20"/>
              </w:rPr>
              <w:t xml:space="preserve">based on Rel-16 </w:t>
            </w:r>
            <w:r>
              <w:rPr>
                <w:rFonts w:hint="default" w:ascii="Times New Roman" w:hAnsi="Times New Roman" w:eastAsia="等线" w:cs="Times New Roman"/>
                <w:i/>
                <w:sz w:val="20"/>
                <w:szCs w:val="20"/>
              </w:rPr>
              <w:t>SRS-ResourceConfigCLI</w:t>
            </w:r>
            <w:r>
              <w:rPr>
                <w:rFonts w:hint="default" w:ascii="Times New Roman" w:hAnsi="Times New Roman" w:eastAsia="等线" w:cs="Times New Roman"/>
                <w:sz w:val="20"/>
                <w:szCs w:val="20"/>
              </w:rPr>
              <w:t xml:space="preserve"> and </w:t>
            </w:r>
            <w:r>
              <w:rPr>
                <w:rFonts w:hint="default" w:ascii="Times New Roman" w:hAnsi="Times New Roman" w:eastAsia="等线" w:cs="Times New Roman"/>
                <w:i/>
                <w:sz w:val="20"/>
                <w:szCs w:val="20"/>
              </w:rPr>
              <w:t>rssi-ResourceConfigCLI</w:t>
            </w:r>
            <w:r>
              <w:rPr>
                <w:rFonts w:hint="default" w:ascii="Times New Roman" w:hAnsi="Times New Roman" w:eastAsia="等线" w:cs="Times New Roman"/>
                <w:sz w:val="20"/>
                <w:szCs w:val="20"/>
              </w:rPr>
              <w:t xml:space="preserve"> defined </w:t>
            </w:r>
            <w:r>
              <w:rPr>
                <w:rFonts w:hint="default" w:ascii="Times New Roman" w:hAnsi="Times New Roman" w:eastAsia="Malgun Gothic" w:cs="Times New Roman"/>
                <w:sz w:val="20"/>
                <w:szCs w:val="20"/>
                <w:lang w:eastAsia="ko-KR"/>
              </w:rPr>
              <w:t xml:space="preserve">in </w:t>
            </w:r>
            <w:r>
              <w:rPr>
                <w:rFonts w:hint="default" w:ascii="Times New Roman" w:hAnsi="Times New Roman" w:cs="Times New Roman"/>
                <w:i/>
                <w:iCs/>
                <w:sz w:val="20"/>
                <w:szCs w:val="20"/>
              </w:rPr>
              <w:t>MeasObjectCLI</w:t>
            </w:r>
            <w:r>
              <w:rPr>
                <w:rFonts w:hint="default" w:ascii="Times New Roman" w:hAnsi="Times New Roman" w:cs="Times New Roman"/>
                <w:iCs/>
                <w:sz w:val="20"/>
                <w:szCs w:val="20"/>
              </w:rPr>
              <w:t xml:space="preserve"> for </w:t>
            </w:r>
            <w:r>
              <w:rPr>
                <w:rFonts w:hint="default" w:ascii="Times New Roman" w:hAnsi="Times New Roman" w:eastAsia="等线" w:cs="Times New Roman"/>
                <w:sz w:val="20"/>
                <w:szCs w:val="20"/>
              </w:rPr>
              <w:t xml:space="preserve">L3 based </w:t>
            </w:r>
            <w:r>
              <w:rPr>
                <w:rFonts w:hint="default" w:ascii="Times New Roman" w:hAnsi="Times New Roman" w:cs="Times New Roman"/>
                <w:sz w:val="20"/>
                <w:szCs w:val="20"/>
              </w:rPr>
              <w:t xml:space="preserve">SRS-RSRP and </w:t>
            </w:r>
            <w:r>
              <w:rPr>
                <w:rFonts w:hint="default" w:ascii="Times New Roman" w:hAnsi="Times New Roman" w:eastAsia="Malgun Gothic" w:cs="Times New Roman"/>
                <w:sz w:val="20"/>
                <w:szCs w:val="20"/>
                <w:lang w:eastAsia="ko-KR"/>
              </w:rPr>
              <w:t>CLI-RSSI measurement</w:t>
            </w:r>
            <w:r>
              <w:rPr>
                <w:rFonts w:hint="default" w:ascii="Times New Roman" w:hAnsi="Times New Roman" w:cs="Times New Roman"/>
                <w:sz w:val="20"/>
                <w:szCs w:val="20"/>
              </w:rPr>
              <w:t>.</w:t>
            </w:r>
          </w:p>
          <w:p w14:paraId="296A507B">
            <w:pPr>
              <w:pStyle w:val="11"/>
              <w:numPr>
                <w:ilvl w:val="0"/>
                <w:numId w:val="5"/>
              </w:numPr>
              <w:overflowPunct w:val="0"/>
              <w:ind w:leftChars="0"/>
              <w:textAlignment w:val="baseline"/>
              <w:rPr>
                <w:rFonts w:hint="default" w:ascii="Times New Roman" w:hAnsi="Times New Roman" w:cs="Times New Roman"/>
                <w:iCs/>
                <w:sz w:val="20"/>
                <w:szCs w:val="20"/>
              </w:rPr>
            </w:pPr>
            <w:r>
              <w:rPr>
                <w:rFonts w:hint="default" w:ascii="Times New Roman" w:hAnsi="Times New Roman" w:eastAsia="等线" w:cs="Times New Roman"/>
                <w:sz w:val="20"/>
                <w:szCs w:val="20"/>
              </w:rPr>
              <w:t xml:space="preserve">The </w:t>
            </w:r>
            <w:r>
              <w:rPr>
                <w:rFonts w:hint="default" w:ascii="Times New Roman" w:hAnsi="Times New Roman" w:cs="Times New Roman"/>
                <w:i/>
                <w:sz w:val="20"/>
                <w:szCs w:val="20"/>
              </w:rPr>
              <w:t>resourceType</w:t>
            </w:r>
            <w:r>
              <w:rPr>
                <w:rFonts w:hint="default" w:ascii="Times New Roman" w:hAnsi="Times New Roman" w:eastAsia="等线" w:cs="Times New Roman"/>
                <w:sz w:val="20"/>
                <w:szCs w:val="20"/>
              </w:rPr>
              <w:t xml:space="preserve"> for the two new CLI measurement resource set lists </w:t>
            </w:r>
            <w:r>
              <w:rPr>
                <w:rFonts w:hint="default" w:ascii="Times New Roman" w:hAnsi="Times New Roman" w:cs="Times New Roman"/>
                <w:sz w:val="20"/>
                <w:szCs w:val="20"/>
              </w:rPr>
              <w:t>can be set to periodic, semi-persistent or aperiodic</w:t>
            </w:r>
          </w:p>
          <w:p w14:paraId="19E6213C">
            <w:pPr>
              <w:pStyle w:val="11"/>
              <w:numPr>
                <w:ilvl w:val="0"/>
                <w:numId w:val="5"/>
              </w:numPr>
              <w:overflowPunct w:val="0"/>
              <w:ind w:leftChars="0"/>
              <w:textAlignment w:val="baseline"/>
              <w:rPr>
                <w:rFonts w:hint="default" w:ascii="Times New Roman" w:hAnsi="Times New Roman" w:cs="Times New Roman"/>
                <w:iCs/>
                <w:sz w:val="20"/>
                <w:szCs w:val="20"/>
              </w:rPr>
            </w:pPr>
            <w:r>
              <w:rPr>
                <w:rFonts w:hint="default" w:ascii="Times New Roman" w:hAnsi="Times New Roman" w:cs="Times New Roman"/>
                <w:sz w:val="20"/>
                <w:szCs w:val="20"/>
              </w:rPr>
              <w:t>Note: No new usage needs to be defined for SRS resource sets</w:t>
            </w:r>
          </w:p>
          <w:p w14:paraId="5EF900AE">
            <w:pPr>
              <w:rPr>
                <w:rFonts w:hint="default" w:ascii="Times New Roman" w:hAnsi="Times New Roman" w:cs="Times New Roman"/>
                <w:sz w:val="20"/>
                <w:szCs w:val="20"/>
              </w:rPr>
            </w:pPr>
          </w:p>
          <w:p w14:paraId="34B3202D">
            <w:pPr>
              <w:rPr>
                <w:rFonts w:hint="default" w:ascii="Times New Roman" w:hAnsi="Times New Roman" w:cs="Times New Roman"/>
                <w:sz w:val="20"/>
                <w:szCs w:val="20"/>
              </w:rPr>
            </w:pPr>
            <w:r>
              <w:rPr>
                <w:rFonts w:hint="default" w:ascii="Times New Roman" w:hAnsi="Times New Roman" w:cs="Times New Roman"/>
                <w:sz w:val="20"/>
                <w:szCs w:val="20"/>
              </w:rPr>
              <w:t>For aperiodic SRS-RSRP reporting using aperiodic SRS-RSRP measurement resource set, the slot offset between the slot containing the DCI that triggers a set of aperiodic SRS-RSRP resources and the slot in which the SRS-RSRP resource set is measured is configured by higher layer parameter.</w:t>
            </w:r>
          </w:p>
          <w:p w14:paraId="71A330B5">
            <w:pPr>
              <w:pStyle w:val="11"/>
              <w:numPr>
                <w:ilvl w:val="0"/>
                <w:numId w:val="5"/>
              </w:numPr>
              <w:overflowPunct w:val="0"/>
              <w:ind w:leftChars="0"/>
              <w:textAlignment w:val="baseline"/>
              <w:rPr>
                <w:rFonts w:hint="default" w:ascii="Times New Roman" w:hAnsi="Times New Roman" w:cs="Times New Roman"/>
                <w:sz w:val="20"/>
                <w:szCs w:val="20"/>
              </w:rPr>
            </w:pPr>
            <w:r>
              <w:rPr>
                <w:rFonts w:hint="default" w:ascii="Times New Roman" w:hAnsi="Times New Roman" w:cs="Times New Roman"/>
                <w:sz w:val="20"/>
                <w:szCs w:val="20"/>
              </w:rPr>
              <w:t>FFS: Whether to reuse the legacy SRS resource set</w:t>
            </w:r>
          </w:p>
          <w:p w14:paraId="4AC531B3">
            <w:pPr>
              <w:pStyle w:val="11"/>
              <w:numPr>
                <w:ilvl w:val="0"/>
                <w:numId w:val="5"/>
              </w:numPr>
              <w:overflowPunct w:val="0"/>
              <w:ind w:leftChars="0"/>
              <w:textAlignment w:val="baseline"/>
              <w:rPr>
                <w:rFonts w:hint="default" w:ascii="Times New Roman" w:hAnsi="Times New Roman" w:cs="Times New Roman"/>
                <w:sz w:val="20"/>
                <w:szCs w:val="20"/>
              </w:rPr>
            </w:pPr>
            <w:r>
              <w:rPr>
                <w:rFonts w:hint="default" w:ascii="Times New Roman" w:hAnsi="Times New Roman" w:cs="Times New Roman"/>
                <w:sz w:val="20"/>
                <w:szCs w:val="20"/>
              </w:rPr>
              <w:t>FFS: Whether available slot offset list is also reused</w:t>
            </w:r>
          </w:p>
          <w:p w14:paraId="5DD6004A">
            <w:pPr>
              <w:rPr>
                <w:rFonts w:hint="default" w:ascii="Times New Roman" w:hAnsi="Times New Roman" w:cs="Times New Roman"/>
                <w:sz w:val="20"/>
                <w:szCs w:val="20"/>
              </w:rPr>
            </w:pPr>
            <w:r>
              <w:rPr>
                <w:rFonts w:hint="default" w:ascii="Times New Roman" w:hAnsi="Times New Roman" w:cs="Times New Roman"/>
                <w:sz w:val="20"/>
                <w:szCs w:val="20"/>
              </w:rPr>
              <w:t>For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p w14:paraId="62BA512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p>
          <w:p w14:paraId="08D50CEA">
            <w:pPr>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highlight w:val="green"/>
                <w:lang w:val="en-US" w:eastAsia="zh-CN"/>
              </w:rPr>
              <w:t>Agreements in RAN1#119</w:t>
            </w:r>
          </w:p>
          <w:p w14:paraId="3C468BAF">
            <w:pPr>
              <w:adjustRightInd w:val="0"/>
              <w:rPr>
                <w:rFonts w:hint="default" w:ascii="Times New Roman" w:hAnsi="Times New Roman" w:cs="Times New Roman"/>
                <w:sz w:val="20"/>
                <w:szCs w:val="20"/>
              </w:rPr>
            </w:pPr>
            <w:r>
              <w:rPr>
                <w:rFonts w:hint="default" w:ascii="Times New Roman" w:hAnsi="Times New Roman" w:cs="Times New Roman"/>
                <w:sz w:val="20"/>
                <w:szCs w:val="20"/>
              </w:rPr>
              <w:t xml:space="preserve">For aperiodic L1 CLI-RSSI/CLI-SRS-RSRP reporting on PUSCH based on a set of periodic CLI measurement resources, </w:t>
            </w:r>
            <w:r>
              <w:rPr>
                <w:rFonts w:hint="default" w:ascii="Times New Roman" w:hAnsi="Times New Roman" w:eastAsia="宋体" w:cs="Times New Roman"/>
                <w:sz w:val="20"/>
                <w:szCs w:val="20"/>
              </w:rPr>
              <w:t xml:space="preserve">the TCI state(s) with QCL typeD for the CLI measurement resources in the </w:t>
            </w:r>
            <w:r>
              <w:rPr>
                <w:rFonts w:hint="default" w:ascii="Times New Roman" w:hAnsi="Times New Roman" w:cs="Times New Roman"/>
                <w:sz w:val="20"/>
                <w:szCs w:val="20"/>
              </w:rPr>
              <w:t xml:space="preserve">periodic CLI measurement resource set </w:t>
            </w:r>
            <w:r>
              <w:rPr>
                <w:rFonts w:hint="default" w:ascii="Times New Roman" w:hAnsi="Times New Roman" w:eastAsia="宋体" w:cs="Times New Roman"/>
                <w:sz w:val="20"/>
                <w:szCs w:val="20"/>
              </w:rPr>
              <w:t>are configured per CLI measurement resource (either for all resources in the set or none) by higher-layer parameter</w:t>
            </w:r>
          </w:p>
          <w:p w14:paraId="79699C9A">
            <w:pPr>
              <w:pStyle w:val="11"/>
              <w:numPr>
                <w:ilvl w:val="0"/>
                <w:numId w:val="5"/>
              </w:numPr>
              <w:tabs>
                <w:tab w:val="left" w:pos="0"/>
              </w:tabs>
              <w:suppressAutoHyphens/>
              <w:snapToGrid w:val="0"/>
              <w:ind w:leftChars="0"/>
              <w:jc w:val="both"/>
              <w:rPr>
                <w:rFonts w:hint="default" w:ascii="Times New Roman" w:hAnsi="Times New Roman" w:cs="Times New Roman"/>
                <w:sz w:val="20"/>
                <w:szCs w:val="20"/>
              </w:rPr>
            </w:pPr>
            <w:r>
              <w:rPr>
                <w:rFonts w:hint="default" w:ascii="Times New Roman" w:hAnsi="Times New Roman" w:cs="Times New Roman"/>
                <w:sz w:val="20"/>
                <w:szCs w:val="20"/>
                <w:lang w:eastAsia="sv-SE"/>
              </w:rPr>
              <w:t xml:space="preserve">For each </w:t>
            </w:r>
            <w:r>
              <w:rPr>
                <w:rFonts w:hint="default" w:ascii="Times New Roman" w:hAnsi="Times New Roman" w:cs="Times New Roman"/>
                <w:sz w:val="20"/>
                <w:szCs w:val="20"/>
              </w:rPr>
              <w:t xml:space="preserve">periodic </w:t>
            </w:r>
            <w:r>
              <w:rPr>
                <w:rFonts w:hint="default" w:ascii="Times New Roman" w:hAnsi="Times New Roman" w:cs="Times New Roman"/>
                <w:sz w:val="20"/>
                <w:szCs w:val="20"/>
                <w:lang w:eastAsia="sv-SE"/>
              </w:rPr>
              <w:t xml:space="preserve">CLI measurement resource, </w:t>
            </w:r>
            <w:r>
              <w:rPr>
                <w:rFonts w:hint="default" w:ascii="Times New Roman" w:hAnsi="Times New Roman" w:eastAsia="宋体" w:cs="Times New Roman"/>
                <w:sz w:val="20"/>
                <w:szCs w:val="20"/>
              </w:rPr>
              <w:t>this higher-layer parameter</w:t>
            </w:r>
            <w:r>
              <w:rPr>
                <w:rFonts w:hint="default" w:ascii="Times New Roman" w:hAnsi="Times New Roman" w:cs="Times New Roman"/>
                <w:sz w:val="20"/>
                <w:szCs w:val="20"/>
                <w:lang w:eastAsia="sv-SE"/>
              </w:rPr>
              <w:t xml:space="preserve"> provides a reference to one </w:t>
            </w:r>
            <w:r>
              <w:rPr>
                <w:rFonts w:hint="default" w:ascii="Times New Roman" w:hAnsi="Times New Roman" w:cs="Times New Roman"/>
                <w:i/>
                <w:sz w:val="20"/>
                <w:szCs w:val="20"/>
                <w:lang w:eastAsia="sv-SE"/>
              </w:rPr>
              <w:t xml:space="preserve">TCI-State </w:t>
            </w:r>
            <w:r>
              <w:rPr>
                <w:rFonts w:hint="default" w:ascii="Times New Roman" w:hAnsi="Times New Roman" w:cs="Times New Roman"/>
                <w:sz w:val="20"/>
                <w:szCs w:val="20"/>
                <w:lang w:eastAsia="sv-SE"/>
              </w:rPr>
              <w:t>in TCI-States for providing the QCL source and QCL typeD.</w:t>
            </w:r>
          </w:p>
          <w:p w14:paraId="008A3250">
            <w:pPr>
              <w:pStyle w:val="11"/>
              <w:numPr>
                <w:ilvl w:val="0"/>
                <w:numId w:val="5"/>
              </w:numPr>
              <w:tabs>
                <w:tab w:val="left" w:pos="0"/>
              </w:tabs>
              <w:suppressAutoHyphens/>
              <w:snapToGrid w:val="0"/>
              <w:ind w:leftChars="0"/>
              <w:jc w:val="both"/>
              <w:rPr>
                <w:rFonts w:hint="default" w:ascii="Times New Roman" w:hAnsi="Times New Roman" w:cs="Times New Roman"/>
                <w:sz w:val="20"/>
                <w:szCs w:val="20"/>
              </w:rPr>
            </w:pPr>
            <w:r>
              <w:rPr>
                <w:rFonts w:hint="default" w:ascii="Times New Roman" w:hAnsi="Times New Roman" w:cs="Times New Roman"/>
                <w:sz w:val="20"/>
                <w:szCs w:val="20"/>
              </w:rPr>
              <w:t>If the TCI state is not configured, t</w:t>
            </w:r>
            <w:r>
              <w:rPr>
                <w:rFonts w:hint="default" w:ascii="Times New Roman" w:hAnsi="Times New Roman" w:eastAsia="宋体" w:cs="Times New Roman"/>
                <w:sz w:val="20"/>
                <w:szCs w:val="20"/>
              </w:rPr>
              <w:t>he UE QCL assumptions are the default rules agreed in RAN1#118bis</w:t>
            </w:r>
          </w:p>
          <w:p w14:paraId="7F4F0560">
            <w:pPr>
              <w:adjustRightInd w:val="0"/>
              <w:rPr>
                <w:rFonts w:hint="default" w:ascii="Times New Roman" w:hAnsi="Times New Roman" w:cs="Times New Roman"/>
                <w:sz w:val="20"/>
                <w:szCs w:val="20"/>
                <w:lang w:eastAsia="ko-KR"/>
              </w:rPr>
            </w:pPr>
            <w:r>
              <w:rPr>
                <w:rFonts w:hint="default" w:ascii="Times New Roman" w:hAnsi="Times New Roman" w:cs="Times New Roman"/>
                <w:sz w:val="20"/>
                <w:szCs w:val="20"/>
              </w:rPr>
              <w:t>For aperiodic L1 CLI-RSSI/CLI-SRS-RSRP reporting on PUSCH based on a set of semi-persistent CLI measurement resources, t</w:t>
            </w:r>
            <w:r>
              <w:rPr>
                <w:rFonts w:hint="default" w:ascii="Times New Roman" w:hAnsi="Times New Roman" w:cs="Times New Roman"/>
                <w:sz w:val="20"/>
                <w:szCs w:val="20"/>
                <w:lang w:eastAsia="ko-KR"/>
              </w:rPr>
              <w:t xml:space="preserve">he gNB may activate and deactivate the configured semi-persistent CLI measurement resource sets by sending a new </w:t>
            </w:r>
            <w:r>
              <w:rPr>
                <w:rFonts w:hint="default" w:ascii="Times New Roman" w:hAnsi="Times New Roman" w:cs="Times New Roman"/>
                <w:sz w:val="20"/>
                <w:szCs w:val="20"/>
              </w:rPr>
              <w:t>SP</w:t>
            </w:r>
            <w:r>
              <w:rPr>
                <w:rFonts w:hint="default" w:ascii="Times New Roman" w:hAnsi="Times New Roman" w:cs="Times New Roman"/>
                <w:sz w:val="20"/>
                <w:szCs w:val="20"/>
                <w:lang w:eastAsia="ko-KR"/>
              </w:rPr>
              <w:t xml:space="preserve"> CLI Measurement Resource Set Activation/Deactivation MAC CE</w:t>
            </w:r>
          </w:p>
          <w:p w14:paraId="158E42FE">
            <w:pPr>
              <w:pStyle w:val="11"/>
              <w:numPr>
                <w:ilvl w:val="0"/>
                <w:numId w:val="5"/>
              </w:numPr>
              <w:tabs>
                <w:tab w:val="left" w:pos="0"/>
              </w:tabs>
              <w:suppressAutoHyphens/>
              <w:snapToGrid w:val="0"/>
              <w:ind w:leftChars="0"/>
              <w:jc w:val="both"/>
              <w:rPr>
                <w:rFonts w:hint="default" w:ascii="Times New Roman" w:hAnsi="Times New Roman" w:cs="Times New Roman"/>
                <w:sz w:val="20"/>
                <w:szCs w:val="20"/>
              </w:rPr>
            </w:pPr>
            <w:r>
              <w:rPr>
                <w:rFonts w:hint="default" w:ascii="Times New Roman" w:hAnsi="Times New Roman" w:cs="Times New Roman"/>
                <w:sz w:val="20"/>
                <w:szCs w:val="20"/>
                <w:lang w:eastAsia="ko-KR"/>
              </w:rPr>
              <w:t>TCI state ID</w:t>
            </w:r>
            <w:r>
              <w:rPr>
                <w:rFonts w:hint="default" w:ascii="Times New Roman" w:hAnsi="Times New Roman" w:cs="Times New Roman"/>
                <w:sz w:val="20"/>
                <w:szCs w:val="20"/>
                <w:vertAlign w:val="subscript"/>
                <w:lang w:eastAsia="ko-KR"/>
              </w:rPr>
              <w:t>i</w:t>
            </w:r>
            <w:r>
              <w:rPr>
                <w:rFonts w:hint="default" w:ascii="Times New Roman" w:hAnsi="Times New Roman" w:cs="Times New Roman"/>
                <w:sz w:val="20"/>
                <w:szCs w:val="20"/>
                <w:lang w:eastAsia="ko-KR"/>
              </w:rPr>
              <w:t xml:space="preserve"> field is included in the new MAC CE, </w:t>
            </w:r>
            <w:r>
              <w:rPr>
                <w:rFonts w:hint="default" w:ascii="Times New Roman" w:hAnsi="Times New Roman" w:cs="Times New Roman"/>
                <w:sz w:val="20"/>
                <w:szCs w:val="20"/>
              </w:rPr>
              <w:t xml:space="preserve">which is used as typeD QCL source for the CLI measurement resource within the </w:t>
            </w:r>
            <w:r>
              <w:rPr>
                <w:rFonts w:hint="default" w:ascii="Times New Roman" w:hAnsi="Times New Roman" w:cs="Times New Roman"/>
                <w:sz w:val="20"/>
                <w:szCs w:val="20"/>
                <w:lang w:eastAsia="ko-KR"/>
              </w:rPr>
              <w:t xml:space="preserve">Semi Persistent </w:t>
            </w:r>
            <w:r>
              <w:rPr>
                <w:rFonts w:hint="default" w:ascii="Times New Roman" w:hAnsi="Times New Roman" w:cs="Times New Roman"/>
                <w:sz w:val="20"/>
                <w:szCs w:val="20"/>
              </w:rPr>
              <w:t>CLI measurement resource set. Either all TCI state ID fields are present or none.</w:t>
            </w:r>
          </w:p>
          <w:p w14:paraId="0DACBB5B">
            <w:pPr>
              <w:pStyle w:val="11"/>
              <w:numPr>
                <w:ilvl w:val="0"/>
                <w:numId w:val="5"/>
              </w:numPr>
              <w:tabs>
                <w:tab w:val="left" w:pos="0"/>
              </w:tabs>
              <w:suppressAutoHyphens/>
              <w:snapToGrid w:val="0"/>
              <w:ind w:leftChars="0"/>
              <w:jc w:val="both"/>
              <w:rPr>
                <w:rFonts w:hint="default" w:ascii="Times New Roman" w:hAnsi="Times New Roman" w:cs="Times New Roman"/>
                <w:sz w:val="20"/>
                <w:szCs w:val="20"/>
              </w:rPr>
            </w:pPr>
            <w:r>
              <w:rPr>
                <w:rFonts w:hint="default" w:ascii="Times New Roman" w:hAnsi="Times New Roman" w:cs="Times New Roman"/>
                <w:sz w:val="20"/>
                <w:szCs w:val="20"/>
              </w:rPr>
              <w:t xml:space="preserve">If the </w:t>
            </w:r>
            <w:r>
              <w:rPr>
                <w:rFonts w:hint="default" w:ascii="Times New Roman" w:hAnsi="Times New Roman" w:cs="Times New Roman"/>
                <w:sz w:val="20"/>
                <w:szCs w:val="20"/>
                <w:lang w:eastAsia="ko-KR"/>
              </w:rPr>
              <w:t>TCI state ID</w:t>
            </w:r>
            <w:r>
              <w:rPr>
                <w:rFonts w:hint="default" w:ascii="Times New Roman" w:hAnsi="Times New Roman" w:cs="Times New Roman"/>
                <w:sz w:val="20"/>
                <w:szCs w:val="20"/>
              </w:rPr>
              <w:t xml:space="preserve"> field(s) are absent, t</w:t>
            </w:r>
            <w:r>
              <w:rPr>
                <w:rFonts w:hint="default" w:ascii="Times New Roman" w:hAnsi="Times New Roman" w:eastAsia="宋体" w:cs="Times New Roman"/>
                <w:sz w:val="20"/>
                <w:szCs w:val="20"/>
              </w:rPr>
              <w:t>he UE QCL assumptions are the default rules agreed in RAN1#118bis</w:t>
            </w:r>
          </w:p>
          <w:p w14:paraId="1849039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p>
        </w:tc>
      </w:tr>
    </w:tbl>
    <w:p w14:paraId="378E613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3703766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lang w:val="en-US" w:eastAsia="zh-CN"/>
        </w:rPr>
      </w:pPr>
      <w:r>
        <w:rPr>
          <w:rFonts w:hint="eastAsia" w:ascii="Times New Roman" w:hAnsi="Times New Roman"/>
          <w:b/>
          <w:bCs/>
          <w:i/>
          <w:iCs/>
          <w:sz w:val="20"/>
          <w:szCs w:val="20"/>
          <w:lang w:val="en-US" w:eastAsia="zh-CN"/>
        </w:rPr>
        <w:t>Proposal 8: for L1 CLI measurement, it is proposed that RAN4 firstly focus on aperiodic reporting, other reporting modes can be further discussed pending on RAN1 propgress.</w:t>
      </w:r>
    </w:p>
    <w:p w14:paraId="5CBBE99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As for the measurement accuracy, according to the simulation results summary [6], it can be seen that the performance difference between 1 sample and 3 sample is minimum, which is within 0.5dB. And further considering the RF carlibration margin, the difference is negligible. Based on above analysis, it is proposed that same accuracy requirements are applied to the case with 1 sample and the case with 3 sample.</w:t>
      </w:r>
    </w:p>
    <w:p w14:paraId="4E5023A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Observation 3: for </w:t>
      </w:r>
      <w:r>
        <w:rPr>
          <w:rFonts w:hint="eastAsia" w:ascii="Times New Roman" w:hAnsi="Times New Roman"/>
          <w:b/>
          <w:bCs/>
          <w:i/>
          <w:iCs/>
          <w:sz w:val="20"/>
          <w:szCs w:val="20"/>
          <w:lang w:val="en-US" w:eastAsia="zh-CN"/>
        </w:rPr>
        <w:t xml:space="preserve">L1-SRS-RSRP, the measurement performance difference </w:t>
      </w:r>
      <w:r>
        <w:rPr>
          <w:rFonts w:hint="eastAsia" w:ascii="Times New Roman" w:hAnsi="Times New Roman" w:cs="Times New Roman"/>
          <w:b/>
          <w:bCs/>
          <w:i/>
          <w:iCs/>
          <w:sz w:val="20"/>
          <w:szCs w:val="20"/>
          <w:lang w:val="en-US" w:eastAsia="zh-CN"/>
        </w:rPr>
        <w:t>between 1 sample and 3 sample is minimum, which is within 0.5dB.</w:t>
      </w:r>
    </w:p>
    <w:p w14:paraId="04A79D9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cs="Times New Roman"/>
          <w:b/>
          <w:bCs/>
          <w:i/>
          <w:iCs/>
          <w:sz w:val="20"/>
          <w:szCs w:val="20"/>
          <w:lang w:val="en-US" w:eastAsia="zh-CN"/>
        </w:rPr>
        <w:t xml:space="preserve">Proposal 9: for </w:t>
      </w:r>
      <w:r>
        <w:rPr>
          <w:rFonts w:hint="default" w:ascii="Times New Roman" w:hAnsi="Times New Roman" w:cs="Times New Roman"/>
          <w:b/>
          <w:bCs/>
          <w:i/>
          <w:iCs/>
          <w:sz w:val="20"/>
          <w:szCs w:val="20"/>
          <w:highlight w:val="none"/>
          <w:lang w:eastAsia="zh-CN"/>
        </w:rPr>
        <w:t>L1-SRS-RSRP,</w:t>
      </w:r>
      <w:r>
        <w:rPr>
          <w:rFonts w:hint="eastAsia" w:ascii="Times New Roman" w:hAnsi="Times New Roman" w:cs="Times New Roman"/>
          <w:b/>
          <w:bCs/>
          <w:i/>
          <w:iCs/>
          <w:sz w:val="20"/>
          <w:szCs w:val="20"/>
          <w:highlight w:val="none"/>
          <w:lang w:val="en-US" w:eastAsia="zh-CN"/>
        </w:rPr>
        <w:t xml:space="preserve"> it is proposed that same accuracy requirements are applied for both </w:t>
      </w:r>
      <w:r>
        <w:rPr>
          <w:rFonts w:hint="eastAsia" w:ascii="Times New Roman" w:hAnsi="Times New Roman" w:cs="Times New Roman"/>
          <w:b/>
          <w:bCs/>
          <w:i/>
          <w:iCs/>
          <w:sz w:val="20"/>
          <w:szCs w:val="20"/>
          <w:lang w:val="en-US" w:eastAsia="zh-CN"/>
        </w:rPr>
        <w:t>the case with 1 sample and the case with 3 sample.</w:t>
      </w:r>
    </w:p>
    <w:p w14:paraId="2FB858A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bookmarkEnd w:id="6"/>
    <w:bookmarkEnd w:id="7"/>
    <w:p w14:paraId="046857A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527F3A70">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2"/>
          <w:highlight w:val="none"/>
          <w:lang w:val="en-US" w:eastAsia="zh-CN"/>
        </w:rPr>
        <w:t>RRM requirements for SBFD</w:t>
      </w:r>
      <w:r>
        <w:rPr>
          <w:rFonts w:hint="eastAsia" w:ascii="Times New Roman" w:hAnsi="Times New Roman"/>
          <w:sz w:val="20"/>
          <w:szCs w:val="20"/>
          <w:highlight w:val="none"/>
        </w:rPr>
        <w:t>. The proposals are:</w:t>
      </w:r>
    </w:p>
    <w:p w14:paraId="095A3C3E">
      <w:pPr>
        <w:keepNext w:val="0"/>
        <w:keepLines w:val="0"/>
        <w:pageBreakBefore w:val="0"/>
        <w:widowControl w:val="0"/>
        <w:kinsoku w:val="0"/>
        <w:wordWrap/>
        <w:overflowPunct w:val="0"/>
        <w:topLinePunct w:val="0"/>
        <w:autoSpaceDE w:val="0"/>
        <w:autoSpaceDN w:val="0"/>
        <w:bidi w:val="0"/>
        <w:adjustRightInd/>
        <w:snapToGrid/>
        <w:spacing w:after="180" w:line="240" w:lineRule="auto"/>
        <w:textAlignment w:val="auto"/>
        <w:rPr>
          <w:rFonts w:hint="default" w:ascii="Times New Roman" w:hAnsi="Times New Roman" w:eastAsia="宋体" w:cs="Times New Roman"/>
          <w:b/>
          <w:bCs/>
          <w:i/>
          <w:iCs/>
          <w:sz w:val="20"/>
          <w:szCs w:val="20"/>
          <w:lang w:val="en-US" w:eastAsia="zh-CN"/>
        </w:rPr>
      </w:pPr>
      <w:r>
        <w:rPr>
          <w:rFonts w:hint="eastAsia" w:ascii="Times New Roman" w:hAnsi="Times New Roman"/>
          <w:b/>
          <w:bCs/>
          <w:i/>
          <w:iCs/>
          <w:sz w:val="20"/>
          <w:szCs w:val="20"/>
          <w:lang w:val="en-US" w:eastAsia="zh-CN"/>
        </w:rPr>
        <w:t xml:space="preserve">Proposal 1: it is proposed that RAN4 specify requirements for </w:t>
      </w:r>
      <w:r>
        <w:rPr>
          <w:rFonts w:hint="default" w:ascii="Times New Roman" w:hAnsi="Times New Roman" w:eastAsia="宋体" w:cs="Times New Roman"/>
          <w:b/>
          <w:bCs/>
          <w:i/>
          <w:iCs/>
          <w:sz w:val="20"/>
          <w:szCs w:val="20"/>
          <w:lang w:val="en-US" w:eastAsia="zh-CN"/>
        </w:rPr>
        <w:t>Method#</w:t>
      </w:r>
      <w:r>
        <w:rPr>
          <w:rFonts w:hint="eastAsia" w:ascii="Times New Roman" w:hAnsi="Times New Roman" w:cs="Times New Roman"/>
          <w:b/>
          <w:bCs/>
          <w:i/>
          <w:iCs/>
          <w:sz w:val="20"/>
          <w:szCs w:val="20"/>
          <w:lang w:val="en-US" w:eastAsia="zh-CN"/>
        </w:rPr>
        <w:t>3</w:t>
      </w:r>
      <w:r>
        <w:rPr>
          <w:rFonts w:hint="default" w:ascii="Times New Roman" w:hAnsi="Times New Roman" w:eastAsia="宋体" w:cs="Times New Roman"/>
          <w:b/>
          <w:bCs/>
          <w:i/>
          <w:iCs/>
          <w:sz w:val="20"/>
          <w:szCs w:val="20"/>
          <w:lang w:val="en-US" w:eastAsia="zh-CN"/>
        </w:rPr>
        <w:t>:</w:t>
      </w:r>
      <w:r>
        <w:rPr>
          <w:rFonts w:hint="eastAsia" w:ascii="Times New Roman" w:hAnsi="Times New Roman" w:cs="Times New Roman"/>
          <w:b/>
          <w:bCs/>
          <w:i/>
          <w:iCs/>
          <w:sz w:val="20"/>
          <w:szCs w:val="20"/>
          <w:lang w:val="en-US" w:eastAsia="zh-CN"/>
        </w:rPr>
        <w:t xml:space="preserve"> UE measures RSSI within UL subband.</w:t>
      </w:r>
      <w:r>
        <w:rPr>
          <w:rFonts w:hint="default" w:ascii="Times New Roman" w:hAnsi="Times New Roman" w:eastAsia="宋体" w:cs="Times New Roman"/>
          <w:b/>
          <w:bCs/>
          <w:i/>
          <w:iCs/>
          <w:sz w:val="20"/>
          <w:szCs w:val="20"/>
          <w:lang w:val="en-US" w:eastAsia="zh-CN"/>
        </w:rPr>
        <w:t xml:space="preserve"> </w:t>
      </w:r>
    </w:p>
    <w:p w14:paraId="2813B39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2: it is proposed that RAN4 define requirements for L1-CLI-RSRI and L1-SRS-RSRP measurement for resource types of periodic, semi-persistent or aperiodic.</w:t>
      </w:r>
    </w:p>
    <w:p w14:paraId="21B3DF8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b/>
          <w:bCs/>
          <w:i/>
          <w:iCs/>
          <w:sz w:val="20"/>
          <w:szCs w:val="20"/>
          <w:lang w:val="en-US" w:eastAsia="zh-CN"/>
        </w:rPr>
        <w:t>Proposal 3: it is proposed that RAN4 firstly define requirements for wideband reporting.</w:t>
      </w:r>
    </w:p>
    <w:p w14:paraId="1790864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default" w:ascii="Times New Roman" w:hAnsi="Times New Roman" w:cs="Times New Roman"/>
          <w:b/>
          <w:bCs/>
          <w:i/>
          <w:iCs/>
          <w:sz w:val="20"/>
          <w:szCs w:val="20"/>
          <w:lang w:val="en-US" w:eastAsia="zh-CN"/>
        </w:rPr>
        <w:t xml:space="preserve">Proposal 4: for L1 CLI measurement, it is proposed that the side condition </w:t>
      </w:r>
      <w:r>
        <w:rPr>
          <w:rFonts w:hint="default" w:ascii="Times New Roman" w:hAnsi="Times New Roman" w:cs="Times New Roman"/>
          <w:b/>
          <w:bCs/>
          <w:i/>
          <w:iCs/>
          <w:sz w:val="20"/>
          <w:szCs w:val="20"/>
        </w:rPr>
        <w:t>(SRS Es/Iot)</w:t>
      </w:r>
      <w:r>
        <w:rPr>
          <w:rFonts w:hint="default" w:ascii="Times New Roman" w:hAnsi="Times New Roman" w:cs="Times New Roman"/>
          <w:b/>
          <w:bCs/>
          <w:i/>
          <w:iCs/>
          <w:sz w:val="20"/>
          <w:szCs w:val="20"/>
          <w:lang w:val="en-US" w:eastAsia="zh-CN"/>
        </w:rPr>
        <w:t xml:space="preserve"> is 1dB.</w:t>
      </w:r>
    </w:p>
    <w:p w14:paraId="27F9420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color w:val="000000"/>
          <w:sz w:val="20"/>
          <w:szCs w:val="20"/>
          <w:lang w:val="en-US" w:eastAsia="zh-CN"/>
        </w:rPr>
      </w:pPr>
      <w:r>
        <w:rPr>
          <w:rFonts w:hint="eastAsia" w:ascii="Times New Roman" w:hAnsi="Times New Roman"/>
          <w:b/>
          <w:bCs/>
          <w:i/>
          <w:iCs/>
          <w:color w:val="000000"/>
          <w:sz w:val="20"/>
          <w:szCs w:val="20"/>
          <w:lang w:val="en-US" w:eastAsia="zh-CN"/>
        </w:rPr>
        <w:t xml:space="preserve">Proposal 5: for timing offset, it is proposed to define </w:t>
      </w:r>
      <w:r>
        <w:rPr>
          <w:rFonts w:hint="default" w:ascii="Times New Roman" w:hAnsi="Times New Roman" w:eastAsia="微软雅黑" w:cs="Times New Roman"/>
          <w:b/>
          <w:bCs/>
          <w:i/>
          <w:iCs/>
          <w:sz w:val="20"/>
          <w:szCs w:val="20"/>
          <w:lang w:eastAsia="ko-KR"/>
        </w:rPr>
        <w:t>L1 UE-to-UE CLI measurement</w:t>
      </w:r>
      <w:r>
        <w:rPr>
          <w:rFonts w:hint="eastAsia" w:ascii="Times New Roman" w:hAnsi="Times New Roman" w:eastAsia="微软雅黑" w:cs="Times New Roman"/>
          <w:b/>
          <w:bCs/>
          <w:i/>
          <w:iCs/>
          <w:sz w:val="20"/>
          <w:szCs w:val="20"/>
          <w:lang w:val="en-US" w:eastAsia="zh-CN"/>
        </w:rPr>
        <w:t xml:space="preserve"> </w:t>
      </w:r>
      <w:r>
        <w:rPr>
          <w:rFonts w:hint="eastAsia" w:ascii="Times New Roman" w:hAnsi="Times New Roman"/>
          <w:b/>
          <w:bCs/>
          <w:i/>
          <w:iCs/>
          <w:color w:val="000000"/>
          <w:sz w:val="20"/>
          <w:szCs w:val="20"/>
          <w:lang w:val="en-US" w:eastAsia="zh-CN"/>
        </w:rPr>
        <w:t>requirements with cell phase error, same as Rel-16 L3 CLI measurement.</w:t>
      </w:r>
    </w:p>
    <w:p w14:paraId="6A0E709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Observation 1: for Rel-16 CSI-SINR, two sets of measurement accuracy requirements are defined, And UE determine which set of requirements is in use based on the received timing difference.    </w:t>
      </w:r>
    </w:p>
    <w:p w14:paraId="4172B5F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Observation 2: for L1-SRS-RSRP, the measurement performance with 1 sample and case 1 (with </w:t>
      </w:r>
      <w:r>
        <w:rPr>
          <w:rFonts w:hint="eastAsia" w:ascii="Times New Roman" w:hAnsi="Times New Roman" w:eastAsia="微软雅黑" w:cs="Times New Roman"/>
          <w:b/>
          <w:bCs/>
          <w:i/>
          <w:iCs/>
          <w:sz w:val="20"/>
          <w:szCs w:val="20"/>
          <w:lang w:val="en-US" w:eastAsia="zh-CN"/>
        </w:rPr>
        <w:t>cell phase error</w:t>
      </w:r>
      <w:r>
        <w:rPr>
          <w:rFonts w:hint="eastAsia" w:ascii="Times New Roman" w:hAnsi="Times New Roman"/>
          <w:b/>
          <w:bCs/>
          <w:i/>
          <w:iCs/>
          <w:sz w:val="20"/>
          <w:szCs w:val="20"/>
          <w:lang w:val="en-US" w:eastAsia="zh-CN"/>
        </w:rPr>
        <w:t>) can be covered by existing L3-SRS-RSRP measurement accuracy requirements with 3 samples.</w:t>
      </w:r>
    </w:p>
    <w:p w14:paraId="63012B4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6: It is proposed to define one set requirements to cover both the case with cell phase error (</w:t>
      </w:r>
      <w:r>
        <w:rPr>
          <w:rFonts w:hint="eastAsia" w:ascii="Times New Roman" w:hAnsi="Times New Roman" w:eastAsia="微软雅黑" w:cs="Times New Roman"/>
          <w:b/>
          <w:bCs/>
          <w:i/>
          <w:iCs/>
          <w:sz w:val="20"/>
          <w:szCs w:val="20"/>
          <w:lang w:val="en-US" w:eastAsia="zh-CN"/>
        </w:rPr>
        <w:t>i</w:t>
      </w:r>
      <w:r>
        <w:rPr>
          <w:rFonts w:ascii="Times New Roman" w:hAnsi="Times New Roman" w:eastAsia="Times New Roman"/>
          <w:b/>
          <w:bCs/>
          <w:i/>
          <w:iCs/>
          <w:color w:val="000000"/>
          <w:sz w:val="20"/>
          <w:szCs w:val="20"/>
          <w:lang w:eastAsia="en-GB"/>
        </w:rPr>
        <w:t>ntr</w:t>
      </w:r>
      <w:r>
        <w:rPr>
          <w:rFonts w:hint="eastAsia" w:ascii="Times New Roman" w:hAnsi="Times New Roman"/>
          <w:b/>
          <w:bCs/>
          <w:i/>
          <w:iCs/>
          <w:color w:val="000000"/>
          <w:sz w:val="20"/>
          <w:szCs w:val="20"/>
          <w:lang w:val="en-US" w:eastAsia="zh-CN"/>
        </w:rPr>
        <w:t>a</w:t>
      </w:r>
      <w:r>
        <w:rPr>
          <w:rFonts w:ascii="Times New Roman" w:hAnsi="Times New Roman" w:eastAsia="Times New Roman"/>
          <w:b/>
          <w:bCs/>
          <w:i/>
          <w:iCs/>
          <w:color w:val="000000"/>
          <w:sz w:val="20"/>
          <w:szCs w:val="20"/>
          <w:lang w:eastAsia="en-GB"/>
        </w:rPr>
        <w:t xml:space="preserve">-cell </w:t>
      </w:r>
      <w:r>
        <w:rPr>
          <w:rFonts w:hint="eastAsia" w:ascii="Times New Roman" w:hAnsi="Times New Roman"/>
          <w:b/>
          <w:bCs/>
          <w:i/>
          <w:iCs/>
          <w:color w:val="000000"/>
          <w:sz w:val="20"/>
          <w:szCs w:val="20"/>
          <w:lang w:val="en-US" w:eastAsia="zh-CN"/>
        </w:rPr>
        <w:t>scenario) and the case without cell phase error (</w:t>
      </w:r>
      <w:r>
        <w:rPr>
          <w:rFonts w:hint="eastAsia" w:ascii="Times New Roman" w:hAnsi="Times New Roman" w:eastAsia="微软雅黑" w:cs="Times New Roman"/>
          <w:b/>
          <w:bCs/>
          <w:i/>
          <w:iCs/>
          <w:sz w:val="20"/>
          <w:szCs w:val="20"/>
          <w:lang w:val="en-US" w:eastAsia="zh-CN"/>
        </w:rPr>
        <w:t>i</w:t>
      </w:r>
      <w:r>
        <w:rPr>
          <w:rFonts w:ascii="Times New Roman" w:hAnsi="Times New Roman" w:eastAsia="Times New Roman"/>
          <w:b/>
          <w:bCs/>
          <w:i/>
          <w:iCs/>
          <w:color w:val="000000"/>
          <w:sz w:val="20"/>
          <w:szCs w:val="20"/>
          <w:lang w:eastAsia="en-GB"/>
        </w:rPr>
        <w:t xml:space="preserve">nter-cell </w:t>
      </w:r>
      <w:r>
        <w:rPr>
          <w:rFonts w:hint="eastAsia" w:ascii="Times New Roman" w:hAnsi="Times New Roman"/>
          <w:b/>
          <w:bCs/>
          <w:i/>
          <w:iCs/>
          <w:color w:val="000000"/>
          <w:sz w:val="20"/>
          <w:szCs w:val="20"/>
          <w:lang w:val="en-US" w:eastAsia="zh-CN"/>
        </w:rPr>
        <w:t>scenario). And exsiting L3-SRS-RSRP accuracy requirements can be applied to L1-SRS-RSRP.</w:t>
      </w:r>
    </w:p>
    <w:p w14:paraId="0DC9E41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7: for </w:t>
      </w:r>
      <w:r>
        <w:rPr>
          <w:rFonts w:hint="default" w:ascii="Times New Roman" w:hAnsi="Times New Roman" w:cs="Times New Roman"/>
          <w:b/>
          <w:bCs/>
          <w:i/>
          <w:iCs/>
          <w:sz w:val="20"/>
          <w:szCs w:val="20"/>
          <w:highlight w:val="none"/>
          <w:lang w:eastAsia="zh-CN"/>
        </w:rPr>
        <w:t xml:space="preserve">L1-SRS-RSRP, </w:t>
      </w:r>
      <w:r>
        <w:rPr>
          <w:rFonts w:hint="eastAsia" w:ascii="Times New Roman" w:hAnsi="Times New Roman" w:cs="Times New Roman"/>
          <w:b/>
          <w:bCs/>
          <w:i/>
          <w:iCs/>
          <w:sz w:val="20"/>
          <w:szCs w:val="20"/>
          <w:highlight w:val="none"/>
          <w:lang w:val="en-US" w:eastAsia="zh-CN"/>
        </w:rPr>
        <w:t xml:space="preserve">measurement period is specified based on 1 and 3 samples pending on NW configuration, e.g.  </w:t>
      </w:r>
      <w:r>
        <w:rPr>
          <w:rFonts w:hint="default" w:ascii="Times New Roman" w:hAnsi="Times New Roman" w:cs="Times New Roman"/>
          <w:b/>
          <w:bCs/>
          <w:i/>
          <w:iCs/>
          <w:sz w:val="20"/>
          <w:szCs w:val="20"/>
        </w:rPr>
        <w:t>timeRestrictionForChannelMeasurement</w:t>
      </w:r>
      <w:r>
        <w:rPr>
          <w:rFonts w:hint="eastAsia" w:ascii="Times New Roman" w:hAnsi="Times New Roman" w:cs="Times New Roman"/>
          <w:b/>
          <w:bCs/>
          <w:i/>
          <w:iCs/>
          <w:sz w:val="20"/>
          <w:szCs w:val="20"/>
          <w:lang w:val="en-US" w:eastAsia="zh-CN"/>
        </w:rPr>
        <w:t>.</w:t>
      </w:r>
    </w:p>
    <w:p w14:paraId="70C5116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lang w:val="en-US" w:eastAsia="zh-CN"/>
        </w:rPr>
      </w:pPr>
      <w:r>
        <w:rPr>
          <w:rFonts w:hint="eastAsia" w:ascii="Times New Roman" w:hAnsi="Times New Roman"/>
          <w:b/>
          <w:bCs/>
          <w:i/>
          <w:iCs/>
          <w:sz w:val="20"/>
          <w:szCs w:val="20"/>
          <w:lang w:val="en-US" w:eastAsia="zh-CN"/>
        </w:rPr>
        <w:t>Proposal 8: for L1 CLI measurement, it is proposed that RAN4 firstly focus on aperiodic reporting, other reporting modes can be further discussed pending on RAN1 propgress.</w:t>
      </w:r>
    </w:p>
    <w:p w14:paraId="5DCBD1B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Observation 3: for </w:t>
      </w:r>
      <w:r>
        <w:rPr>
          <w:rFonts w:hint="eastAsia" w:ascii="Times New Roman" w:hAnsi="Times New Roman"/>
          <w:b/>
          <w:bCs/>
          <w:i/>
          <w:iCs/>
          <w:sz w:val="20"/>
          <w:szCs w:val="20"/>
          <w:lang w:val="en-US" w:eastAsia="zh-CN"/>
        </w:rPr>
        <w:t xml:space="preserve">L1-SRS-RSRP, the measurement performance difference </w:t>
      </w:r>
      <w:r>
        <w:rPr>
          <w:rFonts w:hint="eastAsia" w:ascii="Times New Roman" w:hAnsi="Times New Roman" w:cs="Times New Roman"/>
          <w:b/>
          <w:bCs/>
          <w:i/>
          <w:iCs/>
          <w:sz w:val="20"/>
          <w:szCs w:val="20"/>
          <w:lang w:val="en-US" w:eastAsia="zh-CN"/>
        </w:rPr>
        <w:t>between 1 sample and 3 sample is minimum, which is within 0.5dB.</w:t>
      </w:r>
    </w:p>
    <w:p w14:paraId="6FB24E8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highlight w:val="none"/>
        </w:rPr>
      </w:pPr>
      <w:r>
        <w:rPr>
          <w:rFonts w:hint="eastAsia" w:ascii="Times New Roman" w:hAnsi="Times New Roman" w:cs="Times New Roman"/>
          <w:b/>
          <w:bCs/>
          <w:i/>
          <w:iCs/>
          <w:sz w:val="20"/>
          <w:szCs w:val="20"/>
          <w:lang w:val="en-US" w:eastAsia="zh-CN"/>
        </w:rPr>
        <w:t xml:space="preserve">Proposal 9: for </w:t>
      </w:r>
      <w:r>
        <w:rPr>
          <w:rFonts w:hint="default" w:ascii="Times New Roman" w:hAnsi="Times New Roman" w:cs="Times New Roman"/>
          <w:b/>
          <w:bCs/>
          <w:i/>
          <w:iCs/>
          <w:sz w:val="20"/>
          <w:szCs w:val="20"/>
          <w:highlight w:val="none"/>
          <w:lang w:eastAsia="zh-CN"/>
        </w:rPr>
        <w:t>L1-SRS-RSRP,</w:t>
      </w:r>
      <w:r>
        <w:rPr>
          <w:rFonts w:hint="eastAsia" w:ascii="Times New Roman" w:hAnsi="Times New Roman" w:cs="Times New Roman"/>
          <w:b/>
          <w:bCs/>
          <w:i/>
          <w:iCs/>
          <w:sz w:val="20"/>
          <w:szCs w:val="20"/>
          <w:highlight w:val="none"/>
          <w:lang w:val="en-US" w:eastAsia="zh-CN"/>
        </w:rPr>
        <w:t xml:space="preserve"> it is proposed that same accuracy requirements are applied for both </w:t>
      </w:r>
      <w:r>
        <w:rPr>
          <w:rFonts w:hint="eastAsia" w:ascii="Times New Roman" w:hAnsi="Times New Roman" w:cs="Times New Roman"/>
          <w:b/>
          <w:bCs/>
          <w:i/>
          <w:iCs/>
          <w:sz w:val="20"/>
          <w:szCs w:val="20"/>
          <w:lang w:val="en-US" w:eastAsia="zh-CN"/>
        </w:rPr>
        <w:t>the case with 1 sample and the case with 3 sample.</w:t>
      </w:r>
    </w:p>
    <w:p w14:paraId="54BE5A42">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1C60A1B9">
      <w:pPr>
        <w:pStyle w:val="12"/>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41614</w:t>
      </w:r>
      <w:r>
        <w:rPr>
          <w:rFonts w:ascii="Times" w:hAnsi="Times" w:eastAsia="宋体"/>
          <w:b w:val="0"/>
          <w:sz w:val="20"/>
          <w:lang w:eastAsia="zh-CN"/>
        </w:rPr>
        <w:t xml:space="preserve">, </w:t>
      </w:r>
      <w:r>
        <w:rPr>
          <w:rFonts w:hint="eastAsia" w:ascii="Times" w:hAnsi="Times" w:eastAsia="宋体"/>
          <w:b w:val="0"/>
          <w:sz w:val="20"/>
          <w:lang w:eastAsia="zh-CN"/>
        </w:rPr>
        <w:t>Revised WID: Evolution of NR duplex operation: Sub-band full duplex (SBFD)</w:t>
      </w:r>
    </w:p>
    <w:p w14:paraId="253D06AD">
      <w:pPr>
        <w:pStyle w:val="12"/>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w:t>
      </w:r>
      <w:r>
        <w:rPr>
          <w:rFonts w:hint="eastAsia" w:ascii="Times" w:hAnsi="Times" w:eastAsia="宋体"/>
          <w:b w:val="0"/>
          <w:sz w:val="20"/>
          <w:lang w:val="en-US" w:eastAsia="zh-CN"/>
        </w:rPr>
        <w:t>20097, WF on RRM requirements for NR_duplex_evo, Huawei, HiSilicon</w:t>
      </w:r>
    </w:p>
    <w:p w14:paraId="2D55E443">
      <w:pPr>
        <w:pStyle w:val="12"/>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R4-2416919</w:t>
      </w:r>
      <w:r>
        <w:rPr>
          <w:rFonts w:hint="eastAsia" w:ascii="Times" w:hAnsi="Times" w:eastAsia="宋体"/>
          <w:b w:val="0"/>
          <w:sz w:val="20"/>
          <w:lang w:val="en-US" w:eastAsia="zh-CN"/>
        </w:rPr>
        <w:t xml:space="preserve">, </w:t>
      </w:r>
      <w:r>
        <w:rPr>
          <w:rFonts w:hint="eastAsia" w:ascii="Times" w:hAnsi="Times" w:eastAsia="宋体"/>
          <w:b w:val="0"/>
          <w:sz w:val="20"/>
          <w:lang w:eastAsia="zh-CN"/>
        </w:rPr>
        <w:t>LS on the scenarios of UE-to-UE CLI measurement report in SBFD operation</w:t>
      </w:r>
    </w:p>
    <w:p w14:paraId="46819DFF">
      <w:pPr>
        <w:pStyle w:val="12"/>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R1-2410890, Reply LS on the scenarios of UE-to-UE CLI measurement report in SBFD operation</w:t>
      </w:r>
    </w:p>
    <w:p w14:paraId="10B1F6D9">
      <w:pPr>
        <w:pStyle w:val="12"/>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R4-2416910</w:t>
      </w:r>
      <w:r>
        <w:rPr>
          <w:rFonts w:hint="eastAsia" w:ascii="Times" w:hAnsi="Times" w:eastAsia="宋体"/>
          <w:b w:val="0"/>
          <w:sz w:val="20"/>
          <w:lang w:val="en-US" w:eastAsia="zh-CN"/>
        </w:rPr>
        <w:t>, Simulation assumption for evaluate L1- SRS-RSRP measurement requirements, Ericsson</w:t>
      </w:r>
    </w:p>
    <w:p w14:paraId="1BDF6901">
      <w:pPr>
        <w:pStyle w:val="12"/>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w:t>
      </w:r>
      <w:r>
        <w:rPr>
          <w:rFonts w:hint="eastAsia" w:ascii="Times" w:hAnsi="Times" w:eastAsia="宋体"/>
          <w:b w:val="0"/>
          <w:sz w:val="20"/>
          <w:lang w:val="en-US" w:eastAsia="zh-CN"/>
        </w:rPr>
        <w:t xml:space="preserve">20166, </w:t>
      </w:r>
      <w:r>
        <w:rPr>
          <w:rFonts w:hint="eastAsia" w:ascii="Times" w:hAnsi="Times" w:eastAsia="宋体"/>
          <w:b w:val="0"/>
          <w:sz w:val="20"/>
          <w:lang w:eastAsia="zh-CN"/>
        </w:rPr>
        <w:t>Summary of simulation results for L1-SRS-RSRP</w:t>
      </w:r>
      <w:r>
        <w:rPr>
          <w:rFonts w:hint="eastAsia" w:ascii="Times" w:hAnsi="Times" w:eastAsia="宋体"/>
          <w:b w:val="0"/>
          <w:sz w:val="20"/>
          <w:lang w:val="en-US" w:eastAsia="zh-CN"/>
        </w:rPr>
        <w:t>, Huawei, HiSilicon</w:t>
      </w:r>
    </w:p>
    <w:p w14:paraId="184DB867">
      <w:pPr>
        <w:pStyle w:val="12"/>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R4-2416858</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NR_duplex_evo</w:t>
      </w:r>
      <w:r>
        <w:rPr>
          <w:rFonts w:hint="eastAsia" w:ascii="Times" w:hAnsi="Times" w:eastAsia="宋体"/>
          <w:b w:val="0"/>
          <w:sz w:val="20"/>
          <w:lang w:val="en-US" w:eastAsia="zh-CN"/>
        </w:rPr>
        <w:t>, Huawei, HiSilicon</w:t>
      </w:r>
    </w:p>
    <w:p w14:paraId="7891C189">
      <w:pPr>
        <w:pStyle w:val="12"/>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 xml:space="preserve">3900, </w:t>
      </w:r>
      <w:r>
        <w:rPr>
          <w:rFonts w:hint="eastAsia" w:ascii="Times" w:hAnsi="Times" w:eastAsia="宋体"/>
          <w:b w:val="0"/>
          <w:sz w:val="20"/>
          <w:lang w:eastAsia="zh-CN"/>
        </w:rPr>
        <w:t>WF on SBFD RRM</w:t>
      </w:r>
      <w:r>
        <w:rPr>
          <w:rFonts w:hint="eastAsia" w:ascii="Times" w:hAnsi="Times" w:eastAsia="宋体"/>
          <w:b w:val="0"/>
          <w:sz w:val="20"/>
          <w:lang w:val="en-US" w:eastAsia="zh-CN"/>
        </w:rPr>
        <w:t>, Huawei, HiSilicon</w:t>
      </w:r>
    </w:p>
    <w:p w14:paraId="221CA3CA">
      <w:pPr>
        <w:pStyle w:val="12"/>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R4-2416910</w:t>
      </w:r>
      <w:r>
        <w:rPr>
          <w:rFonts w:hint="eastAsia" w:ascii="Times" w:hAnsi="Times" w:eastAsia="宋体"/>
          <w:b w:val="0"/>
          <w:sz w:val="20"/>
          <w:lang w:val="en-US" w:eastAsia="zh-CN"/>
        </w:rPr>
        <w:t xml:space="preserve">, </w:t>
      </w:r>
      <w:r>
        <w:rPr>
          <w:rFonts w:hint="eastAsia" w:ascii="Times" w:hAnsi="Times" w:eastAsia="宋体"/>
          <w:b w:val="0"/>
          <w:sz w:val="20"/>
          <w:lang w:eastAsia="zh-CN"/>
        </w:rPr>
        <w:t>Simulation assumption for evaluate L1- SRS-RSRP measurement requirements</w:t>
      </w:r>
      <w:r>
        <w:rPr>
          <w:rFonts w:hint="eastAsia" w:ascii="Times" w:hAnsi="Times" w:eastAsia="宋体"/>
          <w:b w:val="0"/>
          <w:sz w:val="20"/>
          <w:lang w:val="en-US" w:eastAsia="zh-CN"/>
        </w:rPr>
        <w:t>, Ericsson</w:t>
      </w:r>
    </w:p>
    <w:p w14:paraId="24E42CB0">
      <w:pPr>
        <w:pStyle w:val="12"/>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231A50B7">
      <w:pPr>
        <w:pStyle w:val="12"/>
        <w:framePr w:wrap="auto" w:vAnchor="margin" w:hAnchor="text" w:yAlign="inline"/>
        <w:ind w:right="400"/>
        <w:jc w:val="both"/>
        <w:rPr>
          <w:rFonts w:ascii="Times" w:hAnsi="Times" w:eastAsia="宋体"/>
          <w:b w:val="0"/>
          <w:sz w:val="20"/>
          <w:lang w:eastAsia="zh-CN"/>
        </w:rPr>
      </w:pPr>
    </w:p>
    <w:p w14:paraId="0A523C19">
      <w:pPr>
        <w:pStyle w:val="12"/>
        <w:framePr w:wrap="auto" w:vAnchor="margin" w:hAnchor="text" w:yAlign="inline"/>
        <w:ind w:right="400"/>
        <w:jc w:val="both"/>
        <w:rPr>
          <w:rFonts w:hint="eastAsia" w:ascii="Times" w:hAnsi="Times" w:eastAsia="宋体"/>
          <w:b w:val="0"/>
          <w:sz w:val="20"/>
          <w:lang w:val="en-US" w:eastAsia="zh-CN"/>
        </w:rPr>
      </w:pPr>
    </w:p>
    <w:p w14:paraId="0EEF2378"/>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F322EC"/>
    <w:multiLevelType w:val="multilevel"/>
    <w:tmpl w:val="1DF322EC"/>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
    <w:nsid w:val="1E9EF811"/>
    <w:multiLevelType w:val="singleLevel"/>
    <w:tmpl w:val="1E9EF811"/>
    <w:lvl w:ilvl="0" w:tentative="0">
      <w:start w:val="1"/>
      <w:numFmt w:val="decimal"/>
      <w:suff w:val="space"/>
      <w:lvlText w:val="[%1]"/>
      <w:lvlJc w:val="left"/>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CC510A7"/>
    <w:multiLevelType w:val="multilevel"/>
    <w:tmpl w:val="3CC510A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8"/>
      <w:numFmt w:val="bullet"/>
      <w:lvlText w:val="-"/>
      <w:lvlJc w:val="left"/>
      <w:pPr>
        <w:ind w:left="1800" w:hanging="360"/>
      </w:pPr>
      <w:rPr>
        <w:rFonts w:hint="default" w:ascii="Times New Roman" w:hAnsi="Times New Roman" w:eastAsia="Times New Roman"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59165BEA"/>
    <w:multiLevelType w:val="multilevel"/>
    <w:tmpl w:val="59165BEA"/>
    <w:lvl w:ilvl="0" w:tentative="0">
      <w:start w:val="1"/>
      <w:numFmt w:val="bullet"/>
      <w:lvlText w:val="•"/>
      <w:lvlJc w:val="left"/>
      <w:pPr>
        <w:tabs>
          <w:tab w:val="left" w:pos="720"/>
        </w:tabs>
        <w:ind w:left="720" w:hanging="360"/>
      </w:pPr>
      <w:rPr>
        <w:rFonts w:hint="default" w:ascii="Arial" w:hAnsi="Arial" w:cs="Arial"/>
      </w:rPr>
    </w:lvl>
    <w:lvl w:ilvl="1" w:tentative="0">
      <w:start w:val="1"/>
      <w:numFmt w:val="bullet"/>
      <w:lvlText w:val="•"/>
      <w:lvlJc w:val="left"/>
      <w:pPr>
        <w:tabs>
          <w:tab w:val="left" w:pos="1440"/>
        </w:tabs>
        <w:ind w:left="1440" w:hanging="360"/>
      </w:pPr>
      <w:rPr>
        <w:rFonts w:hint="default" w:ascii="Arial" w:hAnsi="Arial" w:cs="Arial"/>
      </w:rPr>
    </w:lvl>
    <w:lvl w:ilvl="2" w:tentative="0">
      <w:start w:val="0"/>
      <w:numFmt w:val="bullet"/>
      <w:lvlText w:val="•"/>
      <w:lvlJc w:val="left"/>
      <w:pPr>
        <w:tabs>
          <w:tab w:val="left" w:pos="2160"/>
        </w:tabs>
        <w:ind w:left="2160" w:hanging="360"/>
      </w:pPr>
      <w:rPr>
        <w:rFonts w:hint="default" w:ascii="Arial" w:hAnsi="Arial" w:cs="Arial"/>
      </w:rPr>
    </w:lvl>
    <w:lvl w:ilvl="3" w:tentative="0">
      <w:start w:val="150"/>
      <w:numFmt w:val="bullet"/>
      <w:lvlText w:val="-"/>
      <w:lvlJc w:val="left"/>
      <w:pPr>
        <w:tabs>
          <w:tab w:val="left" w:pos="2880"/>
        </w:tabs>
        <w:ind w:left="2880" w:hanging="360"/>
      </w:pPr>
      <w:rPr>
        <w:rFonts w:hint="default" w:ascii="Times" w:hAnsi="Times" w:cs="Times"/>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8">
    <w:nsid w:val="75D95CAF"/>
    <w:multiLevelType w:val="multilevel"/>
    <w:tmpl w:val="75D95CAF"/>
    <w:lvl w:ilvl="0" w:tentative="0">
      <w:start w:val="150"/>
      <w:numFmt w:val="bullet"/>
      <w:lvlText w:val="-"/>
      <w:lvlJc w:val="left"/>
      <w:pPr>
        <w:ind w:left="420" w:hanging="420"/>
      </w:pPr>
      <w:rPr>
        <w:rFonts w:hint="default" w:ascii="Times" w:hAnsi="Times" w:eastAsia="Batang" w:cs="Times"/>
        <w:lang w:val="en-U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7"/>
  </w:num>
  <w:num w:numId="2">
    <w:abstractNumId w:val="2"/>
  </w:num>
  <w:num w:numId="3">
    <w:abstractNumId w:val="0"/>
  </w:num>
  <w:num w:numId="4">
    <w:abstractNumId w:val="5"/>
  </w:num>
  <w:num w:numId="5">
    <w:abstractNumId w:val="3"/>
  </w:num>
  <w:num w:numId="6">
    <w:abstractNumId w:val="4"/>
  </w:num>
  <w:num w:numId="7">
    <w:abstractNumId w:val="8"/>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A50B76"/>
    <w:rsid w:val="06BB2083"/>
    <w:rsid w:val="08375E63"/>
    <w:rsid w:val="0A7A49BE"/>
    <w:rsid w:val="0A922065"/>
    <w:rsid w:val="0DD40EBD"/>
    <w:rsid w:val="0E367C5D"/>
    <w:rsid w:val="11604C92"/>
    <w:rsid w:val="11D129C7"/>
    <w:rsid w:val="12236F4E"/>
    <w:rsid w:val="13057541"/>
    <w:rsid w:val="19A91D8B"/>
    <w:rsid w:val="19CE05F3"/>
    <w:rsid w:val="1B65127F"/>
    <w:rsid w:val="1CB317C0"/>
    <w:rsid w:val="1FCF11BE"/>
    <w:rsid w:val="20282B52"/>
    <w:rsid w:val="208805ED"/>
    <w:rsid w:val="22ED6B5D"/>
    <w:rsid w:val="2A552882"/>
    <w:rsid w:val="2BD8717A"/>
    <w:rsid w:val="2CB20162"/>
    <w:rsid w:val="2D2B45A9"/>
    <w:rsid w:val="2E8A1F67"/>
    <w:rsid w:val="2FCE1F78"/>
    <w:rsid w:val="31E51409"/>
    <w:rsid w:val="32886F74"/>
    <w:rsid w:val="33552E44"/>
    <w:rsid w:val="3555506A"/>
    <w:rsid w:val="38A21551"/>
    <w:rsid w:val="3B8D0A22"/>
    <w:rsid w:val="3C0E0A5C"/>
    <w:rsid w:val="3F3E1E72"/>
    <w:rsid w:val="40BB4940"/>
    <w:rsid w:val="40C377CE"/>
    <w:rsid w:val="41C932CA"/>
    <w:rsid w:val="43247753"/>
    <w:rsid w:val="43394480"/>
    <w:rsid w:val="44767BDF"/>
    <w:rsid w:val="46ED24A2"/>
    <w:rsid w:val="487E0D7E"/>
    <w:rsid w:val="4AD7736C"/>
    <w:rsid w:val="4CD27092"/>
    <w:rsid w:val="4D594475"/>
    <w:rsid w:val="514E65F3"/>
    <w:rsid w:val="578135A0"/>
    <w:rsid w:val="5ACF2987"/>
    <w:rsid w:val="5CCE66D5"/>
    <w:rsid w:val="5FD0250C"/>
    <w:rsid w:val="603B0CB0"/>
    <w:rsid w:val="624C0D43"/>
    <w:rsid w:val="63F97611"/>
    <w:rsid w:val="665A5356"/>
    <w:rsid w:val="6684087E"/>
    <w:rsid w:val="67125837"/>
    <w:rsid w:val="681151C8"/>
    <w:rsid w:val="6BC309B6"/>
    <w:rsid w:val="6D6E1218"/>
    <w:rsid w:val="74B46F86"/>
    <w:rsid w:val="76542E2F"/>
    <w:rsid w:val="776F2970"/>
    <w:rsid w:val="7AAC00BD"/>
    <w:rsid w:val="7D6C7155"/>
    <w:rsid w:val="7DC1309B"/>
    <w:rsid w:val="7DF870B2"/>
    <w:rsid w:val="7E2F6E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9">
    <w:name w:val="Table Grid"/>
    <w:basedOn w:val="8"/>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qFormat/>
    <w:uiPriority w:val="34"/>
    <w:pPr>
      <w:widowControl/>
      <w:ind w:firstLine="420" w:firstLineChars="200"/>
      <w:jc w:val="left"/>
    </w:pPr>
    <w:rPr>
      <w:rFonts w:ascii="宋体" w:hAnsi="宋体"/>
      <w:kern w:val="0"/>
    </w:rPr>
  </w:style>
  <w:style w:type="paragraph" w:customStyle="1" w:styleId="1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3">
    <w:name w:val="TH"/>
    <w:basedOn w:val="1"/>
    <w:qFormat/>
    <w:uiPriority w:val="0"/>
    <w:pPr>
      <w:keepNext/>
      <w:keepLines/>
      <w:spacing w:before="60"/>
      <w:jc w:val="center"/>
    </w:pPr>
    <w:rPr>
      <w:rFonts w:ascii="Arial" w:hAnsi="Arial"/>
      <w:b/>
    </w:rPr>
  </w:style>
  <w:style w:type="paragraph" w:customStyle="1" w:styleId="14">
    <w:name w:val="TAH"/>
    <w:basedOn w:val="15"/>
    <w:qFormat/>
    <w:uiPriority w:val="0"/>
    <w:rPr>
      <w:b/>
    </w:rPr>
  </w:style>
  <w:style w:type="paragraph" w:customStyle="1" w:styleId="15">
    <w:name w:val="TAC"/>
    <w:basedOn w:val="16"/>
    <w:qFormat/>
    <w:uiPriority w:val="0"/>
    <w:pPr>
      <w:jc w:val="center"/>
    </w:pPr>
  </w:style>
  <w:style w:type="paragraph" w:customStyle="1" w:styleId="16">
    <w:name w:val="TAL"/>
    <w:basedOn w:val="1"/>
    <w:qFormat/>
    <w:uiPriority w:val="0"/>
    <w:pPr>
      <w:keepNext/>
      <w:keepLines/>
      <w:spacing w:after="0"/>
    </w:pPr>
    <w:rPr>
      <w:rFonts w:ascii="Arial" w:hAnsi="Arial"/>
      <w:sz w:val="18"/>
    </w:rPr>
  </w:style>
  <w:style w:type="paragraph" w:customStyle="1" w:styleId="17">
    <w:name w:val="TAN"/>
    <w:basedOn w:val="16"/>
    <w:qFormat/>
    <w:uiPriority w:val="0"/>
    <w:pPr>
      <w:ind w:left="851" w:hanging="851"/>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7</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2024-11-01T08:46:00Z</dcterms:created>
  <dc:creator>cmcc</dc:creator>
  <cp:lastModifiedBy>Jingjing Chen_CMCC</cp:lastModifiedBy>
  <dcterms:modified xsi:type="dcterms:W3CDTF">2025-02-07T08:40:10Z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D7914810C25943A9B23237FB063E3B17</vt:lpwstr>
  </property>
</Properties>
</file>